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6" w:rsidRPr="00A67292" w:rsidRDefault="009D3448" w:rsidP="00A67292">
      <w:pPr>
        <w:spacing w:after="0"/>
        <w:rPr>
          <w:b/>
        </w:rPr>
      </w:pPr>
      <w:r w:rsidRPr="00A67292">
        <w:rPr>
          <w:b/>
        </w:rPr>
        <w:t>REPUBLIKA HRVATSKA</w:t>
      </w:r>
    </w:p>
    <w:p w:rsidR="009D3448" w:rsidRPr="00A67292" w:rsidRDefault="009D3448" w:rsidP="00A67292">
      <w:pPr>
        <w:spacing w:after="0"/>
        <w:rPr>
          <w:b/>
        </w:rPr>
      </w:pPr>
      <w:r w:rsidRPr="00A67292">
        <w:rPr>
          <w:b/>
        </w:rPr>
        <w:t>OSNOVNA ŠKOLA IVANA MAŽURANIĆA</w:t>
      </w:r>
    </w:p>
    <w:p w:rsidR="009D3448" w:rsidRPr="00A67292" w:rsidRDefault="009D3448" w:rsidP="00A67292">
      <w:pPr>
        <w:spacing w:after="0"/>
        <w:rPr>
          <w:b/>
        </w:rPr>
      </w:pPr>
      <w:r w:rsidRPr="00A67292">
        <w:rPr>
          <w:b/>
        </w:rPr>
        <w:t>OBROVAC SINJSKI 21241</w:t>
      </w:r>
    </w:p>
    <w:p w:rsidR="009D3448" w:rsidRPr="00A67292" w:rsidRDefault="009D3448" w:rsidP="00A67292">
      <w:pPr>
        <w:spacing w:after="0"/>
        <w:rPr>
          <w:b/>
        </w:rPr>
      </w:pPr>
      <w:r w:rsidRPr="00A67292">
        <w:rPr>
          <w:b/>
        </w:rPr>
        <w:t>SPLITSKO-DALMATINSKA ŽUPANIJA</w:t>
      </w:r>
    </w:p>
    <w:p w:rsidR="009D3448" w:rsidRPr="00A67292" w:rsidRDefault="009D3448" w:rsidP="00A67292">
      <w:pPr>
        <w:spacing w:after="0"/>
        <w:rPr>
          <w:b/>
        </w:rPr>
      </w:pPr>
      <w:r w:rsidRPr="00A67292">
        <w:rPr>
          <w:b/>
        </w:rPr>
        <w:t>Klasa:</w:t>
      </w:r>
      <w:r w:rsidR="004329AF">
        <w:rPr>
          <w:b/>
        </w:rPr>
        <w:t xml:space="preserve"> 400-05/16-01/01</w:t>
      </w:r>
    </w:p>
    <w:p w:rsidR="009D3448" w:rsidRPr="00A67292" w:rsidRDefault="009D3448" w:rsidP="00A67292">
      <w:pPr>
        <w:spacing w:after="0"/>
        <w:rPr>
          <w:b/>
        </w:rPr>
      </w:pPr>
      <w:proofErr w:type="spellStart"/>
      <w:r w:rsidRPr="00A67292">
        <w:rPr>
          <w:b/>
        </w:rPr>
        <w:t>Urbroj</w:t>
      </w:r>
      <w:proofErr w:type="spellEnd"/>
      <w:r w:rsidRPr="00A67292">
        <w:rPr>
          <w:b/>
        </w:rPr>
        <w:t>:</w:t>
      </w:r>
      <w:r w:rsidR="004329AF">
        <w:rPr>
          <w:b/>
        </w:rPr>
        <w:t xml:space="preserve"> 2175-17-01-16-01</w:t>
      </w:r>
    </w:p>
    <w:p w:rsidR="001A531E" w:rsidRDefault="001A531E" w:rsidP="00A67292">
      <w:pPr>
        <w:spacing w:after="0"/>
        <w:rPr>
          <w:b/>
        </w:rPr>
      </w:pPr>
      <w:r>
        <w:rPr>
          <w:b/>
        </w:rPr>
        <w:t>Obrovac Sinjski, 31.01.2016.</w:t>
      </w:r>
      <w:r w:rsidR="009D3448" w:rsidRPr="00A67292">
        <w:rPr>
          <w:b/>
        </w:rPr>
        <w:tab/>
      </w:r>
      <w:r w:rsidR="009D3448" w:rsidRPr="00A67292">
        <w:rPr>
          <w:b/>
        </w:rPr>
        <w:tab/>
      </w:r>
      <w:r w:rsidR="009D3448" w:rsidRPr="00A67292">
        <w:rPr>
          <w:b/>
        </w:rPr>
        <w:tab/>
      </w:r>
      <w:r w:rsidR="009D3448" w:rsidRPr="00A67292">
        <w:rPr>
          <w:b/>
        </w:rPr>
        <w:tab/>
      </w:r>
      <w:r w:rsidR="009D3448" w:rsidRPr="00A67292">
        <w:rPr>
          <w:b/>
        </w:rPr>
        <w:tab/>
      </w:r>
      <w:r w:rsidR="009D3448" w:rsidRPr="00A67292">
        <w:rPr>
          <w:b/>
        </w:rPr>
        <w:tab/>
      </w:r>
    </w:p>
    <w:p w:rsidR="009D3448" w:rsidRPr="00A67292" w:rsidRDefault="009D3448" w:rsidP="001A531E">
      <w:pPr>
        <w:spacing w:after="0"/>
        <w:ind w:left="3540" w:firstLine="708"/>
        <w:rPr>
          <w:b/>
        </w:rPr>
      </w:pPr>
      <w:r w:rsidRPr="00A67292">
        <w:rPr>
          <w:b/>
        </w:rPr>
        <w:t xml:space="preserve">RKP: 12575         </w:t>
      </w:r>
    </w:p>
    <w:p w:rsidR="009D3448" w:rsidRPr="00A67292" w:rsidRDefault="009D3448" w:rsidP="00A67292">
      <w:pPr>
        <w:spacing w:after="0"/>
        <w:ind w:left="3540" w:firstLine="708"/>
        <w:rPr>
          <w:b/>
        </w:rPr>
      </w:pPr>
      <w:r w:rsidRPr="00A67292">
        <w:rPr>
          <w:b/>
        </w:rPr>
        <w:t>Matični broj: 03067688</w:t>
      </w:r>
    </w:p>
    <w:p w:rsidR="009D3448" w:rsidRPr="00A67292" w:rsidRDefault="009D3448" w:rsidP="00A67292">
      <w:pPr>
        <w:spacing w:after="0"/>
        <w:ind w:left="4248"/>
        <w:rPr>
          <w:b/>
        </w:rPr>
      </w:pPr>
      <w:r w:rsidRPr="00A67292">
        <w:rPr>
          <w:b/>
        </w:rPr>
        <w:t>Djelatnost: 8520</w:t>
      </w:r>
    </w:p>
    <w:p w:rsidR="009D3448" w:rsidRPr="00A67292" w:rsidRDefault="009D3448" w:rsidP="00A67292">
      <w:pPr>
        <w:spacing w:after="0"/>
        <w:ind w:left="3540" w:firstLine="708"/>
        <w:rPr>
          <w:b/>
        </w:rPr>
      </w:pPr>
      <w:r w:rsidRPr="00A67292">
        <w:rPr>
          <w:b/>
        </w:rPr>
        <w:t>OIB: 67272246049</w:t>
      </w:r>
    </w:p>
    <w:p w:rsidR="009D3448" w:rsidRPr="00A67292" w:rsidRDefault="009D3448" w:rsidP="00A67292">
      <w:pPr>
        <w:spacing w:after="0"/>
        <w:ind w:left="3540" w:firstLine="708"/>
        <w:rPr>
          <w:b/>
        </w:rPr>
      </w:pPr>
      <w:r w:rsidRPr="00A67292">
        <w:rPr>
          <w:b/>
        </w:rPr>
        <w:t>Razina: 31</w:t>
      </w:r>
    </w:p>
    <w:p w:rsidR="009D3448" w:rsidRPr="00A67292" w:rsidRDefault="00A67292" w:rsidP="00A67292">
      <w:pPr>
        <w:spacing w:after="0"/>
        <w:ind w:left="1416" w:firstLine="708"/>
        <w:jc w:val="center"/>
        <w:rPr>
          <w:b/>
        </w:rPr>
      </w:pPr>
      <w:r>
        <w:rPr>
          <w:b/>
        </w:rPr>
        <w:t xml:space="preserve">  </w:t>
      </w:r>
      <w:r w:rsidR="005D57D1" w:rsidRPr="00A67292">
        <w:rPr>
          <w:b/>
        </w:rPr>
        <w:t>IBAN: HR422330003110064404</w:t>
      </w:r>
    </w:p>
    <w:p w:rsidR="005D57D1" w:rsidRPr="005D57D1" w:rsidRDefault="005D57D1" w:rsidP="00051447"/>
    <w:p w:rsidR="0025530A" w:rsidRDefault="0025530A" w:rsidP="00051447">
      <w:pPr>
        <w:spacing w:after="120"/>
        <w:jc w:val="center"/>
        <w:rPr>
          <w:b/>
          <w:sz w:val="28"/>
          <w:szCs w:val="28"/>
        </w:rPr>
      </w:pPr>
    </w:p>
    <w:p w:rsidR="0025530A" w:rsidRDefault="0025530A" w:rsidP="00051447">
      <w:pPr>
        <w:spacing w:after="120"/>
        <w:jc w:val="center"/>
        <w:rPr>
          <w:b/>
          <w:sz w:val="28"/>
          <w:szCs w:val="28"/>
        </w:rPr>
      </w:pPr>
    </w:p>
    <w:p w:rsidR="009D3448" w:rsidRPr="009D3448" w:rsidRDefault="009D3448" w:rsidP="00051447">
      <w:pPr>
        <w:spacing w:after="120"/>
        <w:jc w:val="center"/>
        <w:rPr>
          <w:b/>
          <w:sz w:val="28"/>
          <w:szCs w:val="28"/>
        </w:rPr>
      </w:pPr>
      <w:r w:rsidRPr="009D3448">
        <w:rPr>
          <w:b/>
          <w:sz w:val="28"/>
          <w:szCs w:val="28"/>
        </w:rPr>
        <w:t>BILJEŠKE</w:t>
      </w:r>
    </w:p>
    <w:p w:rsidR="005D57D1" w:rsidRDefault="009D3448" w:rsidP="00051447">
      <w:pPr>
        <w:spacing w:after="120"/>
        <w:jc w:val="center"/>
        <w:rPr>
          <w:b/>
        </w:rPr>
      </w:pPr>
      <w:r w:rsidRPr="009D3448">
        <w:rPr>
          <w:b/>
        </w:rPr>
        <w:t>za razdoblje od 1.siječ</w:t>
      </w:r>
      <w:r w:rsidR="005D57D1">
        <w:rPr>
          <w:b/>
        </w:rPr>
        <w:t>nja do 31. prosinca 2015. godine</w:t>
      </w:r>
    </w:p>
    <w:p w:rsidR="005D57D1" w:rsidRDefault="005D57D1" w:rsidP="00051447">
      <w:pPr>
        <w:spacing w:after="120"/>
        <w:jc w:val="center"/>
        <w:rPr>
          <w:b/>
        </w:rPr>
      </w:pPr>
    </w:p>
    <w:p w:rsidR="00CA1462" w:rsidRDefault="005D57D1" w:rsidP="00051447">
      <w:pPr>
        <w:spacing w:after="120"/>
      </w:pPr>
      <w:r>
        <w:rPr>
          <w:b/>
        </w:rPr>
        <w:t xml:space="preserve">  </w:t>
      </w:r>
      <w:r w:rsidRPr="005D57D1">
        <w:t>Sukladno članku 13. Pravilnika o financijskom izvještavanju u proračunskom računovodstvu ( NN</w:t>
      </w:r>
      <w:r>
        <w:t xml:space="preserve"> br. 3/15., 93/15.,135/15. Bilješke su sastavni dio financijskog izvještaja proračuna i proračunskih korisnika.</w:t>
      </w:r>
    </w:p>
    <w:p w:rsidR="00E95EA7" w:rsidRPr="009821B6" w:rsidRDefault="009821B6" w:rsidP="00051447">
      <w:pPr>
        <w:spacing w:after="120"/>
        <w:jc w:val="center"/>
        <w:rPr>
          <w:b/>
        </w:rPr>
      </w:pPr>
      <w:r w:rsidRPr="009821B6">
        <w:rPr>
          <w:b/>
        </w:rPr>
        <w:t>Bilješke uz Bilancu</w:t>
      </w:r>
      <w:r w:rsidR="00273361">
        <w:rPr>
          <w:b/>
        </w:rPr>
        <w:t>- Obrazac BIL</w:t>
      </w:r>
    </w:p>
    <w:p w:rsidR="00FA0D2B" w:rsidRDefault="005D57D1" w:rsidP="00051447">
      <w:pPr>
        <w:spacing w:after="120"/>
        <w:rPr>
          <w:b/>
        </w:rPr>
      </w:pPr>
      <w:r w:rsidRPr="005D57D1">
        <w:rPr>
          <w:b/>
        </w:rPr>
        <w:t>Bilješka uz AOP 002-Nefinancijska imovina</w:t>
      </w:r>
    </w:p>
    <w:tbl>
      <w:tblPr>
        <w:tblStyle w:val="Srednjipopis2-Isticanje1"/>
        <w:tblW w:w="5136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558"/>
        <w:gridCol w:w="3044"/>
        <w:gridCol w:w="616"/>
        <w:gridCol w:w="1556"/>
        <w:gridCol w:w="1416"/>
        <w:gridCol w:w="1351"/>
      </w:tblGrid>
      <w:tr w:rsidR="00522B4C" w:rsidRPr="00A67292" w:rsidTr="00A67292">
        <w:trPr>
          <w:cnfStyle w:val="100000000000"/>
          <w:trHeight w:val="1144"/>
        </w:trPr>
        <w:tc>
          <w:tcPr>
            <w:cnfStyle w:val="00100000010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A67292" w:rsidRDefault="00522B4C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</w:t>
            </w:r>
            <w:r w:rsidR="003341C3"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n</w:t>
            </w: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 iz</w:t>
            </w:r>
          </w:p>
          <w:p w:rsidR="00522B4C" w:rsidRPr="00A67292" w:rsidRDefault="00522B4C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522B4C" w:rsidRPr="00A67292" w:rsidRDefault="00522B4C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5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Stanje 1.siječnja 2015.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Stanje 31. prosinca 2015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Indeks</w:t>
            </w:r>
          </w:p>
          <w:p w:rsidR="00522B4C" w:rsidRPr="00A67292" w:rsidRDefault="00522B4C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522B4C" w:rsidRPr="00A67292" w:rsidTr="00A67292">
        <w:trPr>
          <w:cnfStyle w:val="000000100000"/>
          <w:trHeight w:val="457"/>
        </w:trPr>
        <w:tc>
          <w:tcPr>
            <w:cnfStyle w:val="00100000000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A67292" w:rsidRDefault="00522B4C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15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A06DFB" w:rsidRPr="00A67292" w:rsidTr="00A67292">
        <w:trPr>
          <w:trHeight w:val="457"/>
        </w:trPr>
        <w:tc>
          <w:tcPr>
            <w:cnfStyle w:val="001000000000"/>
            <w:tcW w:w="81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6DFB" w:rsidRPr="00A67292" w:rsidRDefault="00A06DFB" w:rsidP="00A67292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01</w:t>
            </w:r>
          </w:p>
        </w:tc>
        <w:tc>
          <w:tcPr>
            <w:tcW w:w="1597" w:type="pct"/>
            <w:vAlign w:val="center"/>
          </w:tcPr>
          <w:p w:rsidR="00A06DFB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proofErr w:type="spellStart"/>
            <w:r w:rsidRPr="00A67292">
              <w:rPr>
                <w:rFonts w:asciiTheme="minorHAnsi" w:eastAsiaTheme="minorEastAsia" w:hAnsiTheme="minorHAnsi"/>
              </w:rPr>
              <w:t>Neproizvedena</w:t>
            </w:r>
            <w:proofErr w:type="spellEnd"/>
            <w:r w:rsidRPr="00A67292">
              <w:rPr>
                <w:rFonts w:asciiTheme="minorHAnsi" w:eastAsiaTheme="minorEastAsia" w:hAnsiTheme="minorHAnsi"/>
              </w:rPr>
              <w:t xml:space="preserve"> dugotrajna imovina</w:t>
            </w:r>
          </w:p>
        </w:tc>
        <w:tc>
          <w:tcPr>
            <w:tcW w:w="316" w:type="pct"/>
            <w:vAlign w:val="center"/>
          </w:tcPr>
          <w:p w:rsidR="00A06DFB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003</w:t>
            </w:r>
          </w:p>
          <w:p w:rsidR="00A06DFB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17" w:type="pct"/>
            <w:vAlign w:val="center"/>
          </w:tcPr>
          <w:p w:rsidR="00A06DFB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6.770</w:t>
            </w:r>
          </w:p>
        </w:tc>
        <w:tc>
          <w:tcPr>
            <w:tcW w:w="743" w:type="pct"/>
            <w:vAlign w:val="center"/>
          </w:tcPr>
          <w:p w:rsidR="00A06DFB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6.770</w:t>
            </w:r>
          </w:p>
        </w:tc>
        <w:tc>
          <w:tcPr>
            <w:tcW w:w="709" w:type="pct"/>
            <w:vAlign w:val="center"/>
          </w:tcPr>
          <w:p w:rsidR="00A06DFB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100,0</w:t>
            </w:r>
          </w:p>
        </w:tc>
      </w:tr>
      <w:tr w:rsidR="00522B4C" w:rsidRPr="00A67292" w:rsidTr="00A67292">
        <w:trPr>
          <w:cnfStyle w:val="000000100000"/>
          <w:trHeight w:val="457"/>
        </w:trPr>
        <w:tc>
          <w:tcPr>
            <w:cnfStyle w:val="00100000000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A67292" w:rsidRDefault="00522B4C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011</w:t>
            </w:r>
          </w:p>
        </w:tc>
        <w:tc>
          <w:tcPr>
            <w:tcW w:w="15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Materijalna prirodna bogatstva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004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6.770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6.770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22B4C" w:rsidRPr="00A67292" w:rsidRDefault="00522B4C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100</w:t>
            </w:r>
            <w:r w:rsidR="00A06DFB" w:rsidRPr="00A67292">
              <w:rPr>
                <w:rFonts w:asciiTheme="minorHAnsi" w:eastAsiaTheme="minorEastAsia" w:hAnsiTheme="minorHAnsi" w:cstheme="minorBidi"/>
                <w:color w:val="auto"/>
              </w:rPr>
              <w:t>,0</w:t>
            </w:r>
          </w:p>
        </w:tc>
      </w:tr>
      <w:tr w:rsidR="00522B4C" w:rsidRPr="00A67292" w:rsidTr="00A67292">
        <w:trPr>
          <w:trHeight w:val="457"/>
        </w:trPr>
        <w:tc>
          <w:tcPr>
            <w:cnfStyle w:val="001000000000"/>
            <w:tcW w:w="81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A67292" w:rsidRDefault="00522B4C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021 i 02921</w:t>
            </w:r>
          </w:p>
        </w:tc>
        <w:tc>
          <w:tcPr>
            <w:tcW w:w="1597" w:type="pct"/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Građevinski objekti</w:t>
            </w:r>
          </w:p>
        </w:tc>
        <w:tc>
          <w:tcPr>
            <w:tcW w:w="316" w:type="pct"/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008</w:t>
            </w:r>
          </w:p>
        </w:tc>
        <w:tc>
          <w:tcPr>
            <w:tcW w:w="817" w:type="pct"/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6.160.438</w:t>
            </w:r>
          </w:p>
        </w:tc>
        <w:tc>
          <w:tcPr>
            <w:tcW w:w="743" w:type="pct"/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6.074.686</w:t>
            </w:r>
          </w:p>
        </w:tc>
        <w:tc>
          <w:tcPr>
            <w:tcW w:w="709" w:type="pct"/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98,6</w:t>
            </w:r>
          </w:p>
        </w:tc>
      </w:tr>
      <w:tr w:rsidR="00522B4C" w:rsidRPr="00A67292" w:rsidTr="00A67292">
        <w:trPr>
          <w:cnfStyle w:val="000000100000"/>
          <w:trHeight w:val="457"/>
        </w:trPr>
        <w:tc>
          <w:tcPr>
            <w:cnfStyle w:val="00100000000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A67292" w:rsidRDefault="00522B4C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0212</w:t>
            </w:r>
          </w:p>
        </w:tc>
        <w:tc>
          <w:tcPr>
            <w:tcW w:w="15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Poslovni objekti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010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8.704.062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8.724.813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100,2</w:t>
            </w:r>
          </w:p>
        </w:tc>
      </w:tr>
      <w:tr w:rsidR="00522B4C" w:rsidRPr="00A67292" w:rsidTr="00A67292">
        <w:trPr>
          <w:trHeight w:val="457"/>
        </w:trPr>
        <w:tc>
          <w:tcPr>
            <w:cnfStyle w:val="001000000000"/>
            <w:tcW w:w="81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A67292" w:rsidRDefault="00522B4C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0214</w:t>
            </w:r>
          </w:p>
        </w:tc>
        <w:tc>
          <w:tcPr>
            <w:tcW w:w="1597" w:type="pct"/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 xml:space="preserve">Ostali </w:t>
            </w:r>
            <w:r w:rsidR="00AD3307" w:rsidRPr="00A67292">
              <w:rPr>
                <w:rFonts w:asciiTheme="minorHAnsi" w:eastAsiaTheme="minorEastAsia" w:hAnsiTheme="minorHAnsi" w:cstheme="minorBidi"/>
                <w:color w:val="auto"/>
              </w:rPr>
              <w:t>građevinski obje</w:t>
            </w: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kti</w:t>
            </w:r>
          </w:p>
        </w:tc>
        <w:tc>
          <w:tcPr>
            <w:tcW w:w="316" w:type="pct"/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012</w:t>
            </w:r>
          </w:p>
        </w:tc>
        <w:tc>
          <w:tcPr>
            <w:tcW w:w="817" w:type="pct"/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58.376</w:t>
            </w:r>
          </w:p>
        </w:tc>
        <w:tc>
          <w:tcPr>
            <w:tcW w:w="743" w:type="pct"/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58.376</w:t>
            </w:r>
          </w:p>
        </w:tc>
        <w:tc>
          <w:tcPr>
            <w:tcW w:w="709" w:type="pct"/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100,00</w:t>
            </w:r>
          </w:p>
        </w:tc>
      </w:tr>
      <w:tr w:rsidR="00522B4C" w:rsidRPr="00A67292" w:rsidTr="00A67292">
        <w:trPr>
          <w:cnfStyle w:val="000000100000"/>
          <w:trHeight w:val="457"/>
        </w:trPr>
        <w:tc>
          <w:tcPr>
            <w:cnfStyle w:val="00100000000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A67292" w:rsidRDefault="00A06DFB" w:rsidP="00A67292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02921</w:t>
            </w:r>
          </w:p>
        </w:tc>
        <w:tc>
          <w:tcPr>
            <w:tcW w:w="15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Ispravak vrijednosti građevinskih objekata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013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2.602.000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A67292" w:rsidRDefault="00A06DFB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2.708.503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22B4C" w:rsidRPr="00A67292" w:rsidRDefault="00E159E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104,1</w:t>
            </w:r>
          </w:p>
        </w:tc>
      </w:tr>
      <w:tr w:rsidR="00522B4C" w:rsidRPr="00A67292" w:rsidTr="00A67292">
        <w:trPr>
          <w:trHeight w:val="457"/>
        </w:trPr>
        <w:tc>
          <w:tcPr>
            <w:cnfStyle w:val="001000000000"/>
            <w:tcW w:w="81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A67292" w:rsidRDefault="00E159EE" w:rsidP="00A67292">
            <w:pPr>
              <w:spacing w:after="120"/>
              <w:jc w:val="center"/>
              <w:rPr>
                <w:rFonts w:asciiTheme="minorHAnsi" w:hAnsiTheme="minorHAnsi"/>
              </w:rPr>
            </w:pPr>
            <w:r w:rsidRPr="00A67292">
              <w:rPr>
                <w:rFonts w:asciiTheme="minorHAnsi" w:hAnsiTheme="minorHAnsi"/>
              </w:rPr>
              <w:lastRenderedPageBreak/>
              <w:t>022/02922</w:t>
            </w:r>
          </w:p>
          <w:p w:rsidR="00522B4C" w:rsidRPr="00A67292" w:rsidRDefault="00522B4C" w:rsidP="00A67292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97" w:type="pct"/>
            <w:vAlign w:val="center"/>
          </w:tcPr>
          <w:p w:rsidR="00522B4C" w:rsidRPr="00A67292" w:rsidRDefault="00E159E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Postrojenja i oprema</w:t>
            </w:r>
          </w:p>
        </w:tc>
        <w:tc>
          <w:tcPr>
            <w:tcW w:w="316" w:type="pct"/>
            <w:vAlign w:val="center"/>
          </w:tcPr>
          <w:p w:rsidR="00522B4C" w:rsidRPr="00A67292" w:rsidRDefault="00E159E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014</w:t>
            </w:r>
          </w:p>
        </w:tc>
        <w:tc>
          <w:tcPr>
            <w:tcW w:w="817" w:type="pct"/>
            <w:vAlign w:val="center"/>
          </w:tcPr>
          <w:p w:rsidR="00522B4C" w:rsidRPr="00A67292" w:rsidRDefault="00E159E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30</w:t>
            </w:r>
            <w:r w:rsidR="005A3221" w:rsidRPr="00A67292">
              <w:rPr>
                <w:rFonts w:asciiTheme="minorHAnsi" w:eastAsiaTheme="minorEastAsia" w:hAnsiTheme="minorHAnsi"/>
              </w:rPr>
              <w:t>.</w:t>
            </w:r>
            <w:r w:rsidRPr="00A67292">
              <w:rPr>
                <w:rFonts w:asciiTheme="minorHAnsi" w:eastAsiaTheme="minorEastAsia" w:hAnsiTheme="minorHAnsi"/>
              </w:rPr>
              <w:t>226</w:t>
            </w:r>
          </w:p>
        </w:tc>
        <w:tc>
          <w:tcPr>
            <w:tcW w:w="743" w:type="pct"/>
            <w:vAlign w:val="center"/>
          </w:tcPr>
          <w:p w:rsidR="00522B4C" w:rsidRPr="00A67292" w:rsidRDefault="00E159E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83</w:t>
            </w:r>
            <w:r w:rsidR="005A3221" w:rsidRPr="00A67292">
              <w:rPr>
                <w:rFonts w:asciiTheme="minorHAnsi" w:eastAsiaTheme="minorEastAsia" w:hAnsiTheme="minorHAnsi"/>
              </w:rPr>
              <w:t>.</w:t>
            </w:r>
            <w:r w:rsidRPr="00A67292">
              <w:rPr>
                <w:rFonts w:asciiTheme="minorHAnsi" w:eastAsiaTheme="minorEastAsia" w:hAnsiTheme="minorHAnsi"/>
              </w:rPr>
              <w:t>097</w:t>
            </w:r>
          </w:p>
        </w:tc>
        <w:tc>
          <w:tcPr>
            <w:tcW w:w="709" w:type="pct"/>
            <w:vAlign w:val="center"/>
          </w:tcPr>
          <w:p w:rsidR="00522B4C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274.9</w:t>
            </w:r>
          </w:p>
        </w:tc>
      </w:tr>
      <w:tr w:rsidR="00E159EE" w:rsidRPr="00A67292" w:rsidTr="00A67292">
        <w:trPr>
          <w:cnfStyle w:val="000000100000"/>
          <w:trHeight w:val="457"/>
        </w:trPr>
        <w:tc>
          <w:tcPr>
            <w:cnfStyle w:val="00100000000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A67292" w:rsidRDefault="005A3221" w:rsidP="00A67292">
            <w:pPr>
              <w:spacing w:after="120"/>
              <w:jc w:val="center"/>
              <w:rPr>
                <w:rFonts w:asciiTheme="minorHAnsi" w:hAnsiTheme="minorHAnsi"/>
              </w:rPr>
            </w:pPr>
            <w:r w:rsidRPr="00A67292">
              <w:rPr>
                <w:rFonts w:asciiTheme="minorHAnsi" w:hAnsiTheme="minorHAnsi"/>
              </w:rPr>
              <w:t>0221</w:t>
            </w:r>
          </w:p>
        </w:tc>
        <w:tc>
          <w:tcPr>
            <w:tcW w:w="15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Uredska oprema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015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142.324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202.006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141,9</w:t>
            </w:r>
          </w:p>
        </w:tc>
      </w:tr>
      <w:tr w:rsidR="00E159EE" w:rsidRPr="00A67292" w:rsidTr="00A67292">
        <w:trPr>
          <w:trHeight w:val="457"/>
        </w:trPr>
        <w:tc>
          <w:tcPr>
            <w:cnfStyle w:val="001000000000"/>
            <w:tcW w:w="81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A67292" w:rsidRDefault="005A3221" w:rsidP="00A67292">
            <w:pPr>
              <w:spacing w:after="120"/>
              <w:jc w:val="center"/>
              <w:rPr>
                <w:rFonts w:asciiTheme="minorHAnsi" w:hAnsiTheme="minorHAnsi"/>
              </w:rPr>
            </w:pPr>
            <w:r w:rsidRPr="00A67292">
              <w:rPr>
                <w:rFonts w:asciiTheme="minorHAnsi" w:hAnsiTheme="minorHAnsi"/>
              </w:rPr>
              <w:t>0222</w:t>
            </w:r>
          </w:p>
        </w:tc>
        <w:tc>
          <w:tcPr>
            <w:tcW w:w="1597" w:type="pct"/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Komunikacijska oprema</w:t>
            </w:r>
          </w:p>
        </w:tc>
        <w:tc>
          <w:tcPr>
            <w:tcW w:w="316" w:type="pct"/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016</w:t>
            </w:r>
          </w:p>
        </w:tc>
        <w:tc>
          <w:tcPr>
            <w:tcW w:w="817" w:type="pct"/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52.294</w:t>
            </w:r>
          </w:p>
        </w:tc>
        <w:tc>
          <w:tcPr>
            <w:tcW w:w="743" w:type="pct"/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59.379</w:t>
            </w:r>
          </w:p>
        </w:tc>
        <w:tc>
          <w:tcPr>
            <w:tcW w:w="709" w:type="pct"/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113,5</w:t>
            </w:r>
          </w:p>
        </w:tc>
      </w:tr>
      <w:tr w:rsidR="00E159EE" w:rsidRPr="00A67292" w:rsidTr="00A67292">
        <w:trPr>
          <w:cnfStyle w:val="000000100000"/>
          <w:trHeight w:val="457"/>
        </w:trPr>
        <w:tc>
          <w:tcPr>
            <w:cnfStyle w:val="00100000000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A67292" w:rsidRDefault="005A3221" w:rsidP="00A67292">
            <w:pPr>
              <w:spacing w:after="120"/>
              <w:jc w:val="center"/>
              <w:rPr>
                <w:rFonts w:asciiTheme="minorHAnsi" w:hAnsiTheme="minorHAnsi"/>
              </w:rPr>
            </w:pPr>
            <w:r w:rsidRPr="00A67292">
              <w:rPr>
                <w:rFonts w:asciiTheme="minorHAnsi" w:hAnsiTheme="minorHAnsi"/>
              </w:rPr>
              <w:t>0223</w:t>
            </w:r>
          </w:p>
        </w:tc>
        <w:tc>
          <w:tcPr>
            <w:tcW w:w="15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Oprema za održavanje i zaštitu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017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463.202.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463.202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100,0</w:t>
            </w:r>
          </w:p>
        </w:tc>
      </w:tr>
      <w:tr w:rsidR="00E159EE" w:rsidRPr="00A67292" w:rsidTr="00A67292">
        <w:trPr>
          <w:trHeight w:val="457"/>
        </w:trPr>
        <w:tc>
          <w:tcPr>
            <w:cnfStyle w:val="001000000000"/>
            <w:tcW w:w="81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A67292" w:rsidRDefault="005A3221" w:rsidP="00A67292">
            <w:pPr>
              <w:spacing w:after="120"/>
              <w:jc w:val="center"/>
              <w:rPr>
                <w:rFonts w:asciiTheme="minorHAnsi" w:hAnsiTheme="minorHAnsi"/>
              </w:rPr>
            </w:pPr>
            <w:r w:rsidRPr="00A67292">
              <w:rPr>
                <w:rFonts w:asciiTheme="minorHAnsi" w:hAnsiTheme="minorHAnsi"/>
              </w:rPr>
              <w:t>0225</w:t>
            </w:r>
          </w:p>
        </w:tc>
        <w:tc>
          <w:tcPr>
            <w:tcW w:w="1597" w:type="pct"/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Instrumenti, uređaji i strojevi</w:t>
            </w:r>
          </w:p>
        </w:tc>
        <w:tc>
          <w:tcPr>
            <w:tcW w:w="316" w:type="pct"/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019</w:t>
            </w:r>
          </w:p>
        </w:tc>
        <w:tc>
          <w:tcPr>
            <w:tcW w:w="817" w:type="pct"/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6.292</w:t>
            </w:r>
          </w:p>
        </w:tc>
        <w:tc>
          <w:tcPr>
            <w:tcW w:w="743" w:type="pct"/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6.292</w:t>
            </w:r>
          </w:p>
        </w:tc>
        <w:tc>
          <w:tcPr>
            <w:tcW w:w="709" w:type="pct"/>
            <w:vAlign w:val="center"/>
          </w:tcPr>
          <w:p w:rsidR="00E159EE" w:rsidRPr="00A67292" w:rsidRDefault="005A322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100,0</w:t>
            </w:r>
          </w:p>
        </w:tc>
      </w:tr>
      <w:tr w:rsidR="00E159EE" w:rsidRPr="00A67292" w:rsidTr="00A67292">
        <w:trPr>
          <w:cnfStyle w:val="000000100000"/>
          <w:trHeight w:val="457"/>
        </w:trPr>
        <w:tc>
          <w:tcPr>
            <w:cnfStyle w:val="00100000000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A67292" w:rsidRDefault="00685FF4" w:rsidP="00A67292">
            <w:pPr>
              <w:spacing w:after="120"/>
              <w:jc w:val="center"/>
              <w:rPr>
                <w:rFonts w:asciiTheme="minorHAnsi" w:hAnsiTheme="minorHAnsi"/>
              </w:rPr>
            </w:pPr>
            <w:r w:rsidRPr="00A67292">
              <w:rPr>
                <w:rFonts w:asciiTheme="minorHAnsi" w:hAnsiTheme="minorHAnsi"/>
              </w:rPr>
              <w:t>0226</w:t>
            </w:r>
          </w:p>
        </w:tc>
        <w:tc>
          <w:tcPr>
            <w:tcW w:w="15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Sportska i glazbene oprema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020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195.601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195.601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100,0</w:t>
            </w:r>
          </w:p>
        </w:tc>
      </w:tr>
      <w:tr w:rsidR="00E159EE" w:rsidRPr="00A67292" w:rsidTr="00A67292">
        <w:trPr>
          <w:trHeight w:val="457"/>
        </w:trPr>
        <w:tc>
          <w:tcPr>
            <w:cnfStyle w:val="001000000000"/>
            <w:tcW w:w="81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A67292" w:rsidRDefault="00685FF4" w:rsidP="00A67292">
            <w:pPr>
              <w:spacing w:after="120"/>
              <w:jc w:val="center"/>
              <w:rPr>
                <w:rFonts w:asciiTheme="minorHAnsi" w:hAnsiTheme="minorHAnsi"/>
              </w:rPr>
            </w:pPr>
            <w:r w:rsidRPr="00A67292">
              <w:rPr>
                <w:rFonts w:asciiTheme="minorHAnsi" w:hAnsiTheme="minorHAnsi"/>
              </w:rPr>
              <w:t>0227</w:t>
            </w:r>
          </w:p>
        </w:tc>
        <w:tc>
          <w:tcPr>
            <w:tcW w:w="1597" w:type="pct"/>
            <w:vAlign w:val="center"/>
          </w:tcPr>
          <w:p w:rsidR="00E159EE" w:rsidRPr="00A67292" w:rsidRDefault="00AD3307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Uređa</w:t>
            </w:r>
            <w:r w:rsidR="00685FF4" w:rsidRPr="00A67292">
              <w:rPr>
                <w:rFonts w:asciiTheme="minorHAnsi" w:eastAsiaTheme="minorEastAsia" w:hAnsiTheme="minorHAnsi"/>
              </w:rPr>
              <w:t>ji, strojevi i opreme za ostale namjene</w:t>
            </w:r>
          </w:p>
        </w:tc>
        <w:tc>
          <w:tcPr>
            <w:tcW w:w="316" w:type="pct"/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021</w:t>
            </w:r>
          </w:p>
        </w:tc>
        <w:tc>
          <w:tcPr>
            <w:tcW w:w="817" w:type="pct"/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260.728</w:t>
            </w:r>
          </w:p>
        </w:tc>
        <w:tc>
          <w:tcPr>
            <w:tcW w:w="743" w:type="pct"/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260.728</w:t>
            </w:r>
          </w:p>
        </w:tc>
        <w:tc>
          <w:tcPr>
            <w:tcW w:w="709" w:type="pct"/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100,0</w:t>
            </w:r>
          </w:p>
        </w:tc>
      </w:tr>
      <w:tr w:rsidR="00E159EE" w:rsidRPr="00A67292" w:rsidTr="00A67292">
        <w:trPr>
          <w:cnfStyle w:val="000000100000"/>
          <w:trHeight w:val="457"/>
        </w:trPr>
        <w:tc>
          <w:tcPr>
            <w:cnfStyle w:val="001000000000"/>
            <w:tcW w:w="8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A67292" w:rsidRDefault="00685FF4" w:rsidP="00A67292">
            <w:pPr>
              <w:spacing w:after="120"/>
              <w:jc w:val="center"/>
              <w:rPr>
                <w:rFonts w:asciiTheme="minorHAnsi" w:hAnsiTheme="minorHAnsi"/>
              </w:rPr>
            </w:pPr>
            <w:r w:rsidRPr="00A67292">
              <w:rPr>
                <w:rFonts w:asciiTheme="minorHAnsi" w:hAnsiTheme="minorHAnsi"/>
              </w:rPr>
              <w:t>02922</w:t>
            </w:r>
          </w:p>
        </w:tc>
        <w:tc>
          <w:tcPr>
            <w:tcW w:w="15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Ispravak vrijednosti opreme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023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1.090.215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1.104.108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59EE" w:rsidRPr="00A67292" w:rsidRDefault="00685FF4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101,3</w:t>
            </w:r>
          </w:p>
        </w:tc>
      </w:tr>
    </w:tbl>
    <w:p w:rsidR="0075665F" w:rsidRDefault="00AD3307" w:rsidP="00051447">
      <w:pPr>
        <w:spacing w:after="120"/>
      </w:pPr>
      <w:r>
        <w:t>Iz horizontalne analize, uspoređujući podatke o tende</w:t>
      </w:r>
      <w:r w:rsidR="00203B43">
        <w:t>n</w:t>
      </w:r>
      <w:r>
        <w:t>ciji i dinamici promjena pojedinih odjeljaka</w:t>
      </w:r>
      <w:r w:rsidR="005966D2">
        <w:t xml:space="preserve"> građevinskih objekata te </w:t>
      </w:r>
      <w:r>
        <w:t>postrojenja i opreme</w:t>
      </w:r>
      <w:r w:rsidR="00BC671F">
        <w:t>, knjiga i sitnog intervala</w:t>
      </w:r>
      <w:r>
        <w:t xml:space="preserve"> na početku i na kraju 2015. godine, slijedi zaključak da je tijekom 2015. godine </w:t>
      </w:r>
      <w:r w:rsidR="00BC671F">
        <w:t>povećana vrijednost imovine od 0.2</w:t>
      </w:r>
      <w:r>
        <w:t>% do 174%,. Podatak o ispravku vrijednosti tako</w:t>
      </w:r>
      <w:r w:rsidR="00BC671F">
        <w:t>đer ima tende</w:t>
      </w:r>
      <w:r w:rsidR="00203B43">
        <w:t>n</w:t>
      </w:r>
      <w:r w:rsidR="00BC671F">
        <w:t>ciju povećanja od 1,3 % do 4,1</w:t>
      </w:r>
      <w:r>
        <w:t xml:space="preserve">% u odnosu na početak godine. Usporedbom </w:t>
      </w:r>
      <w:r w:rsidR="005966D2">
        <w:t>sadašnje vrijednosti postrojenja i opreme na AOP 008 i 014 dolazimo do stvarnog podatka koji ukazuje da je povećanje nabavne vrijednosti imovine, odnosno nabava nove imovine znatno manje od ispravka vrijednosti.</w:t>
      </w:r>
      <w:r w:rsidR="00504F41">
        <w:t xml:space="preserve"> </w:t>
      </w:r>
      <w:r w:rsidR="005966D2">
        <w:t>Sadašnja vrijednost nefinancijske imovine na kraju 2015. godine manja je za 0,6%</w:t>
      </w:r>
      <w:r w:rsidR="00051447">
        <w:t xml:space="preserve"> negoli je bila početkom godine.</w:t>
      </w:r>
    </w:p>
    <w:p w:rsidR="00051447" w:rsidRDefault="00051447" w:rsidP="00051447">
      <w:pPr>
        <w:spacing w:after="120"/>
      </w:pPr>
    </w:p>
    <w:p w:rsidR="00E95EA7" w:rsidRPr="000D1A89" w:rsidRDefault="00EA189B" w:rsidP="00051447">
      <w:pPr>
        <w:spacing w:after="120"/>
        <w:rPr>
          <w:b/>
        </w:rPr>
      </w:pPr>
      <w:r w:rsidRPr="000D1A89">
        <w:rPr>
          <w:b/>
        </w:rPr>
        <w:t>Bilješ</w:t>
      </w:r>
      <w:r w:rsidR="00F702C3" w:rsidRPr="000D1A89">
        <w:rPr>
          <w:b/>
        </w:rPr>
        <w:t>ka uz AOP-064- Novac u banci i b</w:t>
      </w:r>
      <w:r w:rsidRPr="000D1A89">
        <w:rPr>
          <w:b/>
        </w:rPr>
        <w:t>lagajni</w:t>
      </w:r>
    </w:p>
    <w:tbl>
      <w:tblPr>
        <w:tblStyle w:val="Srednjipopis2-Isticanje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2506"/>
        <w:gridCol w:w="2159"/>
        <w:gridCol w:w="616"/>
        <w:gridCol w:w="1375"/>
        <w:gridCol w:w="1378"/>
        <w:gridCol w:w="1254"/>
      </w:tblGrid>
      <w:tr w:rsidR="00922FEE" w:rsidRPr="00A67292" w:rsidTr="00A67292">
        <w:trPr>
          <w:cnfStyle w:val="100000000000"/>
        </w:trPr>
        <w:tc>
          <w:tcPr>
            <w:cnfStyle w:val="0010000001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A67292" w:rsidRDefault="00922FEE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A67292" w:rsidRDefault="00922FEE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A67292" w:rsidRDefault="00922FEE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A67292" w:rsidRDefault="00922FEE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1.1.2015.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A67292" w:rsidRDefault="00922FEE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31.12.2015.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A67292" w:rsidRDefault="00922FEE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922FEE" w:rsidTr="00A67292">
        <w:trPr>
          <w:cnfStyle w:val="000000100000"/>
        </w:trPr>
        <w:tc>
          <w:tcPr>
            <w:cnfStyle w:val="0010000000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Default="00922FEE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922FE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922FE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922FE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922FE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Default="00EA189B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A189B" w:rsidTr="00A67292">
        <w:tc>
          <w:tcPr>
            <w:cnfStyle w:val="00100000000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Default="00922FEE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</w:t>
            </w:r>
          </w:p>
        </w:tc>
        <w:tc>
          <w:tcPr>
            <w:tcW w:w="1171" w:type="pct"/>
            <w:vAlign w:val="center"/>
          </w:tcPr>
          <w:p w:rsidR="00EA189B" w:rsidRDefault="00922FE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Novac u banci i blagajni</w:t>
            </w:r>
          </w:p>
        </w:tc>
        <w:tc>
          <w:tcPr>
            <w:tcW w:w="325" w:type="pct"/>
            <w:vAlign w:val="center"/>
          </w:tcPr>
          <w:p w:rsidR="00EA189B" w:rsidRDefault="00F702C3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064</w:t>
            </w:r>
          </w:p>
        </w:tc>
        <w:tc>
          <w:tcPr>
            <w:tcW w:w="749" w:type="pct"/>
            <w:vAlign w:val="center"/>
          </w:tcPr>
          <w:p w:rsidR="00EA189B" w:rsidRDefault="00F702C3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28</w:t>
            </w:r>
            <w:r w:rsidR="00A00410">
              <w:rPr>
                <w:rFonts w:asciiTheme="minorHAnsi" w:eastAsiaTheme="minorEastAsia" w:hAnsiTheme="minorHAnsi" w:cstheme="minorBidi"/>
                <w:color w:val="auto"/>
              </w:rPr>
              <w:t>.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358</w:t>
            </w:r>
          </w:p>
        </w:tc>
        <w:tc>
          <w:tcPr>
            <w:tcW w:w="750" w:type="pct"/>
            <w:vAlign w:val="center"/>
          </w:tcPr>
          <w:p w:rsidR="00EA189B" w:rsidRDefault="00F702C3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70.924</w:t>
            </w:r>
          </w:p>
        </w:tc>
        <w:tc>
          <w:tcPr>
            <w:tcW w:w="683" w:type="pct"/>
            <w:vAlign w:val="center"/>
          </w:tcPr>
          <w:p w:rsidR="00EA189B" w:rsidRDefault="00F702C3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250,1</w:t>
            </w:r>
          </w:p>
        </w:tc>
      </w:tr>
      <w:tr w:rsidR="00922FEE" w:rsidTr="00A67292">
        <w:trPr>
          <w:cnfStyle w:val="000000100000"/>
        </w:trPr>
        <w:tc>
          <w:tcPr>
            <w:cnfStyle w:val="0010000000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Default="00922FEE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1112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922FE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Žiro račun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F702C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067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F702C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27.867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F702C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70.145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Default="00F702C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251,7</w:t>
            </w:r>
          </w:p>
        </w:tc>
      </w:tr>
      <w:tr w:rsidR="00EA189B" w:rsidTr="00A67292">
        <w:tc>
          <w:tcPr>
            <w:cnfStyle w:val="00100000000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Default="00922FEE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1114</w:t>
            </w:r>
          </w:p>
        </w:tc>
        <w:tc>
          <w:tcPr>
            <w:tcW w:w="1171" w:type="pct"/>
            <w:vAlign w:val="center"/>
          </w:tcPr>
          <w:p w:rsidR="00EA189B" w:rsidRDefault="00922FE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Blagajna</w:t>
            </w:r>
          </w:p>
        </w:tc>
        <w:tc>
          <w:tcPr>
            <w:tcW w:w="325" w:type="pct"/>
            <w:vAlign w:val="center"/>
          </w:tcPr>
          <w:p w:rsidR="00EA189B" w:rsidRDefault="00F702C3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071</w:t>
            </w:r>
          </w:p>
        </w:tc>
        <w:tc>
          <w:tcPr>
            <w:tcW w:w="749" w:type="pct"/>
            <w:vAlign w:val="center"/>
          </w:tcPr>
          <w:p w:rsidR="00EA189B" w:rsidRDefault="00F702C3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491</w:t>
            </w:r>
          </w:p>
        </w:tc>
        <w:tc>
          <w:tcPr>
            <w:tcW w:w="750" w:type="pct"/>
            <w:vAlign w:val="center"/>
          </w:tcPr>
          <w:p w:rsidR="00EA189B" w:rsidRDefault="00F702C3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779</w:t>
            </w:r>
          </w:p>
        </w:tc>
        <w:tc>
          <w:tcPr>
            <w:tcW w:w="683" w:type="pct"/>
            <w:vAlign w:val="center"/>
          </w:tcPr>
          <w:p w:rsidR="00EA189B" w:rsidRDefault="00F702C3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158,7</w:t>
            </w:r>
          </w:p>
        </w:tc>
      </w:tr>
      <w:tr w:rsidR="00922FEE" w:rsidTr="00A67292">
        <w:trPr>
          <w:cnfStyle w:val="000000100000"/>
        </w:trPr>
        <w:tc>
          <w:tcPr>
            <w:cnfStyle w:val="0010000000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Default="00922FEE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1131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922FE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Prijelazni račun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F702C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069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F702C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Default="00F702C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Default="00F702C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</w:tr>
    </w:tbl>
    <w:p w:rsidR="00D51FE3" w:rsidRDefault="000D1A89" w:rsidP="00051447">
      <w:pPr>
        <w:spacing w:after="120"/>
      </w:pPr>
      <w:r>
        <w:t>Posljednjeg dana proračunske godine Škola raspolaže s većom količinom novca na žiro računu iz razloga što je 31.12.2015. godine uplaćeno potraživanje od Županije za dugotrajnu imovinu u iznosu od 53.000,00 kn, ali se sredstva nisu iskoristila za podmirenje dospjelih obaveza. Smanjen je saldo novca u blagajni, a gotovina se koristi za hitne i nepredviđene potrebe.</w:t>
      </w:r>
      <w:r w:rsidR="00A00410">
        <w:t xml:space="preserve"> Isto tako škola je ostvarila više prihoda od pruženih usluga</w:t>
      </w:r>
      <w:r w:rsidR="0007203D">
        <w:t>.</w:t>
      </w:r>
    </w:p>
    <w:p w:rsidR="00D51FE3" w:rsidRDefault="00D51FE3" w:rsidP="00051447">
      <w:pPr>
        <w:spacing w:after="120"/>
      </w:pPr>
    </w:p>
    <w:p w:rsidR="00051447" w:rsidRDefault="00051447" w:rsidP="00051447">
      <w:pPr>
        <w:spacing w:after="120"/>
      </w:pPr>
    </w:p>
    <w:p w:rsidR="0025530A" w:rsidRDefault="0025530A" w:rsidP="00051447">
      <w:pPr>
        <w:spacing w:after="120"/>
        <w:rPr>
          <w:b/>
        </w:rPr>
      </w:pPr>
    </w:p>
    <w:p w:rsidR="003C1896" w:rsidRDefault="003C1896" w:rsidP="00051447">
      <w:pPr>
        <w:spacing w:after="120"/>
        <w:rPr>
          <w:b/>
        </w:rPr>
      </w:pPr>
      <w:r w:rsidRPr="00525229">
        <w:rPr>
          <w:b/>
        </w:rPr>
        <w:lastRenderedPageBreak/>
        <w:t xml:space="preserve">Bilješka uz AOP 073- Depoziti, jamčeni </w:t>
      </w:r>
      <w:proofErr w:type="spellStart"/>
      <w:r w:rsidRPr="00525229">
        <w:rPr>
          <w:b/>
        </w:rPr>
        <w:t>polozi</w:t>
      </w:r>
      <w:proofErr w:type="spellEnd"/>
      <w:r w:rsidRPr="00525229">
        <w:rPr>
          <w:b/>
        </w:rPr>
        <w:t xml:space="preserve"> i potraživanja od zaposlenih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2506"/>
        <w:gridCol w:w="2159"/>
        <w:gridCol w:w="616"/>
        <w:gridCol w:w="1375"/>
        <w:gridCol w:w="1378"/>
        <w:gridCol w:w="1254"/>
      </w:tblGrid>
      <w:tr w:rsidR="00C32AA2" w:rsidRPr="00A67292" w:rsidTr="00A67292">
        <w:trPr>
          <w:cnfStyle w:val="100000000000"/>
        </w:trPr>
        <w:tc>
          <w:tcPr>
            <w:cnfStyle w:val="0010000001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32AA2" w:rsidRPr="00A67292" w:rsidRDefault="00C32AA2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A67292" w:rsidRDefault="00C32AA2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A67292" w:rsidRDefault="00C32AA2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A67292" w:rsidRDefault="00C32AA2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1.1.2015.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A67292" w:rsidRDefault="00C32AA2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31.12.2015.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A67292" w:rsidRDefault="00C32AA2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C32AA2" w:rsidTr="00A67292">
        <w:trPr>
          <w:cnfStyle w:val="000000100000"/>
        </w:trPr>
        <w:tc>
          <w:tcPr>
            <w:cnfStyle w:val="0010000000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32AA2" w:rsidRDefault="00C32AA2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12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Default="00C32AA2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Default="00C32AA2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Default="00C32AA2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Default="00C32AA2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32AA2" w:rsidRDefault="00C32AA2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C32AA2" w:rsidTr="00A67292">
        <w:tc>
          <w:tcPr>
            <w:cnfStyle w:val="00100000000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32AA2" w:rsidRDefault="00C32AA2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129</w:t>
            </w:r>
          </w:p>
        </w:tc>
        <w:tc>
          <w:tcPr>
            <w:tcW w:w="1171" w:type="pct"/>
            <w:vAlign w:val="center"/>
          </w:tcPr>
          <w:p w:rsidR="00C32AA2" w:rsidRDefault="00C32AA2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Ostala potraživanja</w:t>
            </w:r>
          </w:p>
        </w:tc>
        <w:tc>
          <w:tcPr>
            <w:tcW w:w="325" w:type="pct"/>
            <w:vAlign w:val="center"/>
          </w:tcPr>
          <w:p w:rsidR="00C32AA2" w:rsidRDefault="00C32AA2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080</w:t>
            </w:r>
          </w:p>
        </w:tc>
        <w:tc>
          <w:tcPr>
            <w:tcW w:w="749" w:type="pct"/>
            <w:vAlign w:val="center"/>
          </w:tcPr>
          <w:p w:rsidR="00C32AA2" w:rsidRDefault="00C32AA2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85.362</w:t>
            </w:r>
          </w:p>
        </w:tc>
        <w:tc>
          <w:tcPr>
            <w:tcW w:w="750" w:type="pct"/>
            <w:vAlign w:val="center"/>
          </w:tcPr>
          <w:p w:rsidR="00C32AA2" w:rsidRDefault="00C32AA2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10.192</w:t>
            </w:r>
          </w:p>
        </w:tc>
        <w:tc>
          <w:tcPr>
            <w:tcW w:w="683" w:type="pct"/>
            <w:vAlign w:val="center"/>
          </w:tcPr>
          <w:p w:rsidR="00C32AA2" w:rsidRDefault="00C32AA2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11,9</w:t>
            </w:r>
          </w:p>
        </w:tc>
      </w:tr>
    </w:tbl>
    <w:p w:rsidR="00A00410" w:rsidRDefault="00C32AA2" w:rsidP="00051447">
      <w:pPr>
        <w:spacing w:after="120"/>
      </w:pPr>
      <w:r w:rsidRPr="00C32AA2">
        <w:t>Ostala p</w:t>
      </w:r>
      <w:r>
        <w:t xml:space="preserve">otraživanja </w:t>
      </w:r>
      <w:r w:rsidR="0025530A">
        <w:t>i</w:t>
      </w:r>
      <w:r w:rsidR="003C1896" w:rsidRPr="00C32AA2">
        <w:t>skazani</w:t>
      </w:r>
      <w:r w:rsidR="0025530A">
        <w:t xml:space="preserve"> </w:t>
      </w:r>
      <w:r w:rsidR="003C1896">
        <w:t>su u iznosu 10.192 kn, a odnose se na isplaćena bolovanja preko 42 dana na teret HZZO koji nisu refundirani i za koje su iskazna potraživanja na poziciji 129.</w:t>
      </w:r>
      <w:r>
        <w:t xml:space="preserve"> radi izvršenih kompenzacija između HZZO i MZOS došlo je do smanjenja navedenih potraživanja na kraju razdoblja u odnosu na početak razdoblja za 88,10 %</w:t>
      </w:r>
    </w:p>
    <w:p w:rsidR="00AC1CAA" w:rsidRDefault="00AC1CAA" w:rsidP="00051447">
      <w:pPr>
        <w:spacing w:after="120"/>
      </w:pPr>
    </w:p>
    <w:p w:rsidR="0025530A" w:rsidRDefault="0025530A" w:rsidP="00051447">
      <w:pPr>
        <w:spacing w:after="120"/>
        <w:rPr>
          <w:b/>
        </w:rPr>
      </w:pPr>
    </w:p>
    <w:p w:rsidR="00A00410" w:rsidRDefault="00A00410" w:rsidP="00051447">
      <w:pPr>
        <w:spacing w:after="120"/>
        <w:rPr>
          <w:b/>
        </w:rPr>
      </w:pPr>
      <w:r w:rsidRPr="00A00410">
        <w:rPr>
          <w:b/>
        </w:rPr>
        <w:t>Bilješka uz AOP 140- Potraživanje za prihode poslovanja</w:t>
      </w:r>
    </w:p>
    <w:tbl>
      <w:tblPr>
        <w:tblStyle w:val="Srednjipopis2-Isticanje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2506"/>
        <w:gridCol w:w="2159"/>
        <w:gridCol w:w="616"/>
        <w:gridCol w:w="1375"/>
        <w:gridCol w:w="1378"/>
        <w:gridCol w:w="1254"/>
      </w:tblGrid>
      <w:tr w:rsidR="00A00410" w:rsidRPr="00A67292" w:rsidTr="00A67292">
        <w:trPr>
          <w:cnfStyle w:val="100000000000"/>
        </w:trPr>
        <w:tc>
          <w:tcPr>
            <w:cnfStyle w:val="0010000001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Pr="00A67292" w:rsidRDefault="00A00410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A67292" w:rsidRDefault="00A00410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A67292" w:rsidRDefault="00A00410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A67292" w:rsidRDefault="00A00410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1.1.2015.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A67292" w:rsidRDefault="00A00410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31.12.2015.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A67292" w:rsidRDefault="00A00410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A00410" w:rsidTr="00A67292">
        <w:trPr>
          <w:cnfStyle w:val="000000100000"/>
        </w:trPr>
        <w:tc>
          <w:tcPr>
            <w:cnfStyle w:val="0010000000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Default="00A00410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16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00410" w:rsidTr="00A67292">
        <w:tc>
          <w:tcPr>
            <w:cnfStyle w:val="00100000000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Default="00A00410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166</w:t>
            </w:r>
          </w:p>
        </w:tc>
        <w:tc>
          <w:tcPr>
            <w:tcW w:w="1171" w:type="pct"/>
            <w:vAlign w:val="center"/>
          </w:tcPr>
          <w:p w:rsidR="00A00410" w:rsidRDefault="00A00410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Potraživanja za prihode od prodaje roba i usluga</w:t>
            </w:r>
          </w:p>
        </w:tc>
        <w:tc>
          <w:tcPr>
            <w:tcW w:w="325" w:type="pct"/>
            <w:vAlign w:val="center"/>
          </w:tcPr>
          <w:p w:rsidR="00A00410" w:rsidRDefault="00A00410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140</w:t>
            </w:r>
          </w:p>
        </w:tc>
        <w:tc>
          <w:tcPr>
            <w:tcW w:w="749" w:type="pct"/>
            <w:vAlign w:val="center"/>
          </w:tcPr>
          <w:p w:rsidR="00A00410" w:rsidRDefault="00A00410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2.360</w:t>
            </w:r>
          </w:p>
        </w:tc>
        <w:tc>
          <w:tcPr>
            <w:tcW w:w="750" w:type="pct"/>
            <w:vAlign w:val="center"/>
          </w:tcPr>
          <w:p w:rsidR="00A00410" w:rsidRDefault="00A00410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1.680</w:t>
            </w:r>
          </w:p>
        </w:tc>
        <w:tc>
          <w:tcPr>
            <w:tcW w:w="683" w:type="pct"/>
            <w:vAlign w:val="center"/>
          </w:tcPr>
          <w:p w:rsidR="00A00410" w:rsidRDefault="00A00410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71,2</w:t>
            </w:r>
          </w:p>
        </w:tc>
      </w:tr>
    </w:tbl>
    <w:p w:rsidR="00D51FE3" w:rsidRDefault="00A00410" w:rsidP="00051447">
      <w:pPr>
        <w:spacing w:after="120"/>
      </w:pPr>
      <w:r w:rsidRPr="00A00410">
        <w:t>Naplata prihoda od pruženih usluga je bila veća nego u 2014. godini</w:t>
      </w:r>
    </w:p>
    <w:p w:rsidR="00D51FE3" w:rsidRDefault="00D51FE3" w:rsidP="00051447">
      <w:pPr>
        <w:spacing w:after="120"/>
      </w:pPr>
    </w:p>
    <w:p w:rsidR="0025530A" w:rsidRDefault="0025530A" w:rsidP="00051447">
      <w:pPr>
        <w:spacing w:after="120"/>
        <w:rPr>
          <w:b/>
        </w:rPr>
      </w:pPr>
    </w:p>
    <w:p w:rsidR="00A00410" w:rsidRDefault="00A00410" w:rsidP="00051447">
      <w:pPr>
        <w:spacing w:after="120"/>
        <w:rPr>
          <w:b/>
        </w:rPr>
      </w:pPr>
      <w:r w:rsidRPr="00A67292">
        <w:rPr>
          <w:b/>
        </w:rPr>
        <w:t>B</w:t>
      </w:r>
      <w:r w:rsidRPr="00A00410">
        <w:rPr>
          <w:b/>
        </w:rPr>
        <w:t>ilješka uz AOP 161- Kontinuirani rashodi budućih razdoblja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2506"/>
        <w:gridCol w:w="2159"/>
        <w:gridCol w:w="616"/>
        <w:gridCol w:w="1375"/>
        <w:gridCol w:w="1378"/>
        <w:gridCol w:w="1254"/>
      </w:tblGrid>
      <w:tr w:rsidR="00A00410" w:rsidRPr="00A67292" w:rsidTr="00A67292">
        <w:trPr>
          <w:cnfStyle w:val="100000000000"/>
        </w:trPr>
        <w:tc>
          <w:tcPr>
            <w:cnfStyle w:val="0010000001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Pr="00A67292" w:rsidRDefault="00A00410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A67292" w:rsidRDefault="00A00410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A67292" w:rsidRDefault="00A00410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A67292" w:rsidRDefault="00A00410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1.1.2015.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A67292" w:rsidRDefault="00A00410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31.12.2015.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A67292" w:rsidRDefault="00A00410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A00410" w:rsidTr="00A67292">
        <w:trPr>
          <w:cnfStyle w:val="000000100000"/>
        </w:trPr>
        <w:tc>
          <w:tcPr>
            <w:cnfStyle w:val="0010000000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Default="00A00410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00410" w:rsidTr="00A67292">
        <w:tc>
          <w:tcPr>
            <w:cnfStyle w:val="00100000000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Default="00A00410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19</w:t>
            </w:r>
          </w:p>
        </w:tc>
        <w:tc>
          <w:tcPr>
            <w:tcW w:w="1171" w:type="pct"/>
            <w:vAlign w:val="center"/>
          </w:tcPr>
          <w:p w:rsidR="00A00410" w:rsidRDefault="00A00410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Rashodi budućih razdoblja i nedospjela naplata prihoda</w:t>
            </w:r>
          </w:p>
        </w:tc>
        <w:tc>
          <w:tcPr>
            <w:tcW w:w="325" w:type="pct"/>
            <w:vAlign w:val="center"/>
          </w:tcPr>
          <w:p w:rsidR="00A00410" w:rsidRDefault="000E4AE9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158</w:t>
            </w:r>
          </w:p>
        </w:tc>
        <w:tc>
          <w:tcPr>
            <w:tcW w:w="749" w:type="pct"/>
            <w:vAlign w:val="center"/>
          </w:tcPr>
          <w:p w:rsidR="00A00410" w:rsidRDefault="00A00410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310.951</w:t>
            </w:r>
          </w:p>
        </w:tc>
        <w:tc>
          <w:tcPr>
            <w:tcW w:w="750" w:type="pct"/>
            <w:vAlign w:val="center"/>
          </w:tcPr>
          <w:p w:rsidR="00A00410" w:rsidRDefault="006A75D9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320.914</w:t>
            </w:r>
          </w:p>
        </w:tc>
        <w:tc>
          <w:tcPr>
            <w:tcW w:w="683" w:type="pct"/>
            <w:vAlign w:val="center"/>
          </w:tcPr>
          <w:p w:rsidR="00A00410" w:rsidRDefault="006A75D9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103,2</w:t>
            </w:r>
          </w:p>
        </w:tc>
      </w:tr>
      <w:tr w:rsidR="00A00410" w:rsidTr="00A67292">
        <w:trPr>
          <w:cnfStyle w:val="000000100000"/>
        </w:trPr>
        <w:tc>
          <w:tcPr>
            <w:cnfStyle w:val="00100000000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Default="00A00410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19311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Kontinuirani rashodi budućih razdoblja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0E4AE9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161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A00410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310.951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Default="006A75D9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320.914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00410" w:rsidRDefault="006A75D9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103,20</w:t>
            </w:r>
          </w:p>
        </w:tc>
      </w:tr>
    </w:tbl>
    <w:p w:rsidR="00B40318" w:rsidRDefault="001C23D2" w:rsidP="00051447">
      <w:pPr>
        <w:spacing w:after="120"/>
      </w:pPr>
      <w:r>
        <w:t xml:space="preserve"> Sukladno članku 39.st. 2. Pravilnika o proračunskom računovodstvu škola je evidentirala kontinuiranje rashode za prosinac 2015. godine. </w:t>
      </w:r>
      <w:r w:rsidR="002A0860">
        <w:t>Podatak iskazan na poziciji 158</w:t>
      </w:r>
      <w:r>
        <w:t xml:space="preserve"> odnosi se na plaću 12/</w:t>
      </w:r>
      <w:r w:rsidR="00474739">
        <w:t xml:space="preserve">2015. (309.790 kn) </w:t>
      </w:r>
      <w:r w:rsidR="00CA1462">
        <w:t>, te struja 12/2015. godine</w:t>
      </w:r>
      <w:r w:rsidR="00474739">
        <w:t xml:space="preserve"> (11.124</w:t>
      </w:r>
      <w:r w:rsidR="007F1128">
        <w:t xml:space="preserve"> kn</w:t>
      </w:r>
      <w:r w:rsidR="00474739">
        <w:t>).</w:t>
      </w:r>
    </w:p>
    <w:p w:rsidR="00611511" w:rsidRDefault="00611511" w:rsidP="00051447">
      <w:pPr>
        <w:spacing w:after="120"/>
      </w:pPr>
    </w:p>
    <w:p w:rsidR="00972A6E" w:rsidRDefault="00972A6E" w:rsidP="00051447">
      <w:pPr>
        <w:spacing w:after="120"/>
      </w:pPr>
    </w:p>
    <w:p w:rsidR="0025530A" w:rsidRDefault="0025530A" w:rsidP="00051447">
      <w:pPr>
        <w:spacing w:after="120"/>
        <w:rPr>
          <w:b/>
        </w:rPr>
      </w:pPr>
    </w:p>
    <w:p w:rsidR="0025530A" w:rsidRDefault="0025530A" w:rsidP="00051447">
      <w:pPr>
        <w:spacing w:after="120"/>
        <w:rPr>
          <w:b/>
        </w:rPr>
      </w:pPr>
    </w:p>
    <w:p w:rsidR="00525229" w:rsidRDefault="00525229" w:rsidP="00051447">
      <w:pPr>
        <w:spacing w:after="120"/>
        <w:rPr>
          <w:b/>
        </w:rPr>
      </w:pPr>
      <w:r w:rsidRPr="003C1896">
        <w:rPr>
          <w:b/>
        </w:rPr>
        <w:lastRenderedPageBreak/>
        <w:t xml:space="preserve">Bilješka uz AOP </w:t>
      </w:r>
      <w:r w:rsidR="003C1896" w:rsidRPr="003C1896">
        <w:rPr>
          <w:b/>
        </w:rPr>
        <w:t>164</w:t>
      </w:r>
      <w:r w:rsidR="00022AF2">
        <w:rPr>
          <w:b/>
        </w:rPr>
        <w:t xml:space="preserve"> - </w:t>
      </w:r>
      <w:r w:rsidR="003C1896" w:rsidRPr="003C1896">
        <w:rPr>
          <w:b/>
        </w:rPr>
        <w:t xml:space="preserve"> Obveze za rashode poslovanja</w:t>
      </w:r>
    </w:p>
    <w:tbl>
      <w:tblPr>
        <w:tblStyle w:val="Srednjipopis2-Isticanje1"/>
        <w:tblW w:w="5136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949"/>
        <w:gridCol w:w="2760"/>
        <w:gridCol w:w="616"/>
        <w:gridCol w:w="1521"/>
        <w:gridCol w:w="1380"/>
        <w:gridCol w:w="1315"/>
      </w:tblGrid>
      <w:tr w:rsidR="00611511" w:rsidRPr="00A67292" w:rsidTr="00A67292">
        <w:trPr>
          <w:cnfStyle w:val="100000000000"/>
          <w:trHeight w:val="691"/>
        </w:trPr>
        <w:tc>
          <w:tcPr>
            <w:cnfStyle w:val="001000000100"/>
            <w:tcW w:w="9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A67292" w:rsidRDefault="00CC7CC7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Račun iz </w:t>
            </w:r>
            <w:r w:rsidR="00611511"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611511" w:rsidRPr="00A67292" w:rsidRDefault="00611511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Stanje 1.siječnja 2015.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Stanje 31. prosinca 2015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Indeks</w:t>
            </w:r>
          </w:p>
          <w:p w:rsidR="00611511" w:rsidRPr="00A67292" w:rsidRDefault="00611511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611511" w:rsidRPr="00A67292" w:rsidTr="00A67292">
        <w:trPr>
          <w:cnfStyle w:val="000000100000"/>
          <w:trHeight w:val="457"/>
        </w:trPr>
        <w:tc>
          <w:tcPr>
            <w:cnfStyle w:val="001000000000"/>
            <w:tcW w:w="9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A67292" w:rsidRDefault="00611511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1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611511" w:rsidRPr="00A67292" w:rsidTr="00A67292">
        <w:trPr>
          <w:trHeight w:val="632"/>
        </w:trPr>
        <w:tc>
          <w:tcPr>
            <w:cnfStyle w:val="001000000000"/>
            <w:tcW w:w="9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A67292" w:rsidRDefault="00657628" w:rsidP="00A67292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1467" w:type="pct"/>
            <w:vAlign w:val="center"/>
          </w:tcPr>
          <w:p w:rsidR="00611511" w:rsidRPr="00A67292" w:rsidRDefault="00657628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Obveze</w:t>
            </w:r>
          </w:p>
        </w:tc>
        <w:tc>
          <w:tcPr>
            <w:tcW w:w="316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163</w:t>
            </w:r>
          </w:p>
          <w:p w:rsidR="00611511" w:rsidRPr="00A67292" w:rsidRDefault="00611511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17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404.233</w:t>
            </w:r>
          </w:p>
        </w:tc>
        <w:tc>
          <w:tcPr>
            <w:tcW w:w="743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422.010</w:t>
            </w:r>
          </w:p>
        </w:tc>
        <w:tc>
          <w:tcPr>
            <w:tcW w:w="709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104,6</w:t>
            </w:r>
          </w:p>
        </w:tc>
      </w:tr>
      <w:tr w:rsidR="00611511" w:rsidRPr="00A67292" w:rsidTr="00A67292">
        <w:trPr>
          <w:cnfStyle w:val="000000100000"/>
          <w:trHeight w:val="457"/>
        </w:trPr>
        <w:tc>
          <w:tcPr>
            <w:cnfStyle w:val="001000000000"/>
            <w:tcW w:w="9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A67292" w:rsidRDefault="00F6741E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23</w:t>
            </w:r>
          </w:p>
        </w:tc>
        <w:tc>
          <w:tcPr>
            <w:tcW w:w="1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Obveze za rashode poslovanja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164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389.275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402.090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103,3</w:t>
            </w:r>
          </w:p>
        </w:tc>
      </w:tr>
      <w:tr w:rsidR="00611511" w:rsidRPr="00A67292" w:rsidTr="00A67292">
        <w:trPr>
          <w:trHeight w:val="457"/>
        </w:trPr>
        <w:tc>
          <w:tcPr>
            <w:cnfStyle w:val="001000000000"/>
            <w:tcW w:w="9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A67292" w:rsidRDefault="00F6741E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231</w:t>
            </w:r>
          </w:p>
        </w:tc>
        <w:tc>
          <w:tcPr>
            <w:tcW w:w="1467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Obveze za zaposlene</w:t>
            </w:r>
          </w:p>
        </w:tc>
        <w:tc>
          <w:tcPr>
            <w:tcW w:w="316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165</w:t>
            </w:r>
          </w:p>
        </w:tc>
        <w:tc>
          <w:tcPr>
            <w:tcW w:w="817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297.162</w:t>
            </w:r>
          </w:p>
        </w:tc>
        <w:tc>
          <w:tcPr>
            <w:tcW w:w="743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346.647</w:t>
            </w:r>
          </w:p>
        </w:tc>
        <w:tc>
          <w:tcPr>
            <w:tcW w:w="709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116,6</w:t>
            </w:r>
          </w:p>
        </w:tc>
      </w:tr>
      <w:tr w:rsidR="00611511" w:rsidRPr="00A67292" w:rsidTr="00A67292">
        <w:trPr>
          <w:cnfStyle w:val="000000100000"/>
          <w:trHeight w:val="457"/>
        </w:trPr>
        <w:tc>
          <w:tcPr>
            <w:cnfStyle w:val="001000000000"/>
            <w:tcW w:w="9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A67292" w:rsidRDefault="00F6741E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232</w:t>
            </w:r>
          </w:p>
        </w:tc>
        <w:tc>
          <w:tcPr>
            <w:tcW w:w="1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Obveze za materijalne rashode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166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48.876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50.114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102,5</w:t>
            </w:r>
          </w:p>
        </w:tc>
      </w:tr>
      <w:tr w:rsidR="00611511" w:rsidRPr="00A67292" w:rsidTr="00A67292">
        <w:trPr>
          <w:trHeight w:val="457"/>
        </w:trPr>
        <w:tc>
          <w:tcPr>
            <w:cnfStyle w:val="001000000000"/>
            <w:tcW w:w="94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A67292" w:rsidRDefault="00F6741E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239</w:t>
            </w:r>
          </w:p>
        </w:tc>
        <w:tc>
          <w:tcPr>
            <w:tcW w:w="1467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Ostale tekuće obveze</w:t>
            </w:r>
          </w:p>
        </w:tc>
        <w:tc>
          <w:tcPr>
            <w:tcW w:w="316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175</w:t>
            </w:r>
          </w:p>
        </w:tc>
        <w:tc>
          <w:tcPr>
            <w:tcW w:w="817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43.207</w:t>
            </w:r>
          </w:p>
        </w:tc>
        <w:tc>
          <w:tcPr>
            <w:tcW w:w="743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5.329</w:t>
            </w:r>
          </w:p>
        </w:tc>
        <w:tc>
          <w:tcPr>
            <w:tcW w:w="709" w:type="pct"/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A67292">
              <w:rPr>
                <w:rFonts w:asciiTheme="minorHAnsi" w:eastAsiaTheme="minorEastAsia" w:hAnsiTheme="minorHAnsi" w:cstheme="minorBidi"/>
                <w:color w:val="auto"/>
              </w:rPr>
              <w:t>12,3</w:t>
            </w:r>
          </w:p>
        </w:tc>
      </w:tr>
      <w:tr w:rsidR="00611511" w:rsidRPr="00A67292" w:rsidTr="00A67292">
        <w:trPr>
          <w:cnfStyle w:val="000000100000"/>
          <w:trHeight w:val="457"/>
        </w:trPr>
        <w:tc>
          <w:tcPr>
            <w:cnfStyle w:val="001000000000"/>
            <w:tcW w:w="9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A67292" w:rsidRDefault="00F6741E" w:rsidP="00A67292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24</w:t>
            </w:r>
          </w:p>
        </w:tc>
        <w:tc>
          <w:tcPr>
            <w:tcW w:w="14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Obveze za nabavu nefinancijske imovine</w:t>
            </w:r>
          </w:p>
        </w:tc>
        <w:tc>
          <w:tcPr>
            <w:tcW w:w="3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176</w:t>
            </w:r>
          </w:p>
        </w:tc>
        <w:tc>
          <w:tcPr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A67292" w:rsidRDefault="00F6741E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A67292">
              <w:rPr>
                <w:rFonts w:asciiTheme="minorHAnsi" w:eastAsiaTheme="minorEastAsia" w:hAnsiTheme="minorHAnsi"/>
              </w:rPr>
              <w:t>20.820,0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A67292" w:rsidRDefault="00611511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</w:p>
        </w:tc>
      </w:tr>
    </w:tbl>
    <w:p w:rsidR="00246B66" w:rsidRDefault="00246B66" w:rsidP="00051447">
      <w:pPr>
        <w:spacing w:after="120"/>
      </w:pPr>
      <w:r>
        <w:t>Iz horizontalne analize pojedinih pozicija vidljivo je povećanje iskazanih obveze na kraju godine u odnosu na početak godine. Povećanje se kreće od 2,5% do 16,6%. Do ove godine Okružnicama Ministarstva financija bilo je omogućeno odstupanje od primjene gotovinskog načela iskazivanja prihoda propisanog Pravilnikom o proračunskom računovodstvu i Računskom planu kod evidencije doznaka sredstava pomoći izravnanja za decentralizirane funkcije.</w:t>
      </w:r>
      <w:r w:rsidR="00676596">
        <w:t xml:space="preserve"> Do 2014. godine korisnici su priznavali prihode 2014. godine koje su dobili od nadležne jedinice lokalne samouprave u 2015. godini za podmirenje obaveza po rashodima koji se financiraju iz pomoći izravnanja. To odstupanje se više ne promjenjuje u 2015. godini i škola je kao proračunski korisnik iskazala rashode i obveza nastale u 2015. godini bez obzira  što te obveze nisu i podmirene u 2015. godini jer su sredstva školi za iste obveze doznačena u 2016. godini. Zbog ovog modificiranog načela nastanka događaja škola je završila godinu s manjkom, a uspješno je poslovala i zbog toga ima i indeks povećanja obveza na kraju 2015. godine u odnosu na početak godine.</w:t>
      </w:r>
    </w:p>
    <w:p w:rsidR="00A36221" w:rsidRDefault="00A36221" w:rsidP="00051447">
      <w:pPr>
        <w:spacing w:after="120"/>
      </w:pPr>
    </w:p>
    <w:p w:rsidR="00022AF2" w:rsidRDefault="00A36221" w:rsidP="00051447">
      <w:pPr>
        <w:spacing w:after="120"/>
        <w:rPr>
          <w:b/>
        </w:rPr>
      </w:pPr>
      <w:r w:rsidRPr="00A36221">
        <w:rPr>
          <w:b/>
        </w:rPr>
        <w:t xml:space="preserve">Bilješke uz AOP 238 </w:t>
      </w:r>
      <w:r w:rsidR="00022AF2">
        <w:rPr>
          <w:b/>
        </w:rPr>
        <w:t xml:space="preserve">- </w:t>
      </w:r>
      <w:r w:rsidRPr="00A36221">
        <w:rPr>
          <w:b/>
        </w:rPr>
        <w:t>Manjak poslovanja</w:t>
      </w:r>
    </w:p>
    <w:tbl>
      <w:tblPr>
        <w:tblStyle w:val="Srednjipopis2-Isticanje1"/>
        <w:tblW w:w="4896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952"/>
        <w:gridCol w:w="2970"/>
        <w:gridCol w:w="950"/>
        <w:gridCol w:w="1455"/>
        <w:gridCol w:w="29"/>
        <w:gridCol w:w="1710"/>
        <w:gridCol w:w="29"/>
      </w:tblGrid>
      <w:tr w:rsidR="00AD7FE3" w:rsidRPr="00A67292" w:rsidTr="00A67292">
        <w:trPr>
          <w:gridAfter w:val="1"/>
          <w:cnfStyle w:val="100000000000"/>
          <w:wAfter w:w="16" w:type="pct"/>
          <w:trHeight w:val="819"/>
        </w:trPr>
        <w:tc>
          <w:tcPr>
            <w:cnfStyle w:val="00100000010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A67292" w:rsidRDefault="00AD7FE3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 iz</w:t>
            </w:r>
            <w:r w:rsidR="00CC7CC7"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AD7FE3" w:rsidRPr="00A67292" w:rsidRDefault="00AD7FE3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A67292" w:rsidRDefault="00AD7FE3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A67292" w:rsidRDefault="00AD7FE3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A67292" w:rsidRDefault="00AD7FE3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PR-RAS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A67292" w:rsidRDefault="00AD7FE3" w:rsidP="00A67292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A67292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BILANCA</w:t>
            </w:r>
          </w:p>
        </w:tc>
      </w:tr>
      <w:tr w:rsidR="00AD7FE3" w:rsidRPr="00CC7CC7" w:rsidTr="00A67292">
        <w:trPr>
          <w:cnfStyle w:val="000000100000"/>
          <w:trHeight w:val="457"/>
        </w:trPr>
        <w:tc>
          <w:tcPr>
            <w:cnfStyle w:val="00100000000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CC7CC7" w:rsidRDefault="00AD7FE3" w:rsidP="00A67292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CC7CC7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CC7CC7" w:rsidRDefault="00AD7FE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CC7CC7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CC7CC7" w:rsidRDefault="00AD7FE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CC7CC7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81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CC7CC7" w:rsidRDefault="00AD7FE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CC7CC7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7FE3" w:rsidRPr="00CC7CC7" w:rsidRDefault="00AD7FE3" w:rsidP="00A67292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CC7CC7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</w:tr>
      <w:tr w:rsidR="00AD7FE3" w:rsidRPr="00CC7CC7" w:rsidTr="00A67292">
        <w:trPr>
          <w:trHeight w:val="873"/>
        </w:trPr>
        <w:tc>
          <w:tcPr>
            <w:cnfStyle w:val="001000000000"/>
            <w:tcW w:w="107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CC7CC7" w:rsidRDefault="00AD7FE3" w:rsidP="00A67292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CC7CC7">
              <w:rPr>
                <w:rFonts w:asciiTheme="minorHAnsi" w:eastAsiaTheme="minorEastAsia" w:hAnsiTheme="minorHAnsi"/>
              </w:rPr>
              <w:t>9222</w:t>
            </w:r>
          </w:p>
        </w:tc>
        <w:tc>
          <w:tcPr>
            <w:tcW w:w="1633" w:type="pct"/>
            <w:vAlign w:val="center"/>
          </w:tcPr>
          <w:p w:rsidR="00AD7FE3" w:rsidRPr="00CC7CC7" w:rsidRDefault="00AD7FE3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CC7CC7">
              <w:rPr>
                <w:rFonts w:asciiTheme="minorHAnsi" w:eastAsiaTheme="minorEastAsia" w:hAnsiTheme="minorHAnsi"/>
              </w:rPr>
              <w:t>Manjak prihoda poslovanja</w:t>
            </w:r>
          </w:p>
        </w:tc>
        <w:tc>
          <w:tcPr>
            <w:tcW w:w="522" w:type="pct"/>
            <w:vAlign w:val="center"/>
          </w:tcPr>
          <w:p w:rsidR="00A67292" w:rsidRDefault="00A67292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  <w:p w:rsidR="00AD7FE3" w:rsidRPr="00CC7CC7" w:rsidRDefault="00A67292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238</w:t>
            </w:r>
          </w:p>
          <w:p w:rsidR="00AD7FE3" w:rsidRPr="00CC7CC7" w:rsidRDefault="00AD7FE3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AD7FE3" w:rsidRPr="00CC7CC7" w:rsidRDefault="00C822C0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CC7CC7">
              <w:rPr>
                <w:rFonts w:asciiTheme="minorHAnsi" w:eastAsiaTheme="minorEastAsia" w:hAnsiTheme="minorHAnsi"/>
              </w:rPr>
              <w:t>20.880</w:t>
            </w:r>
          </w:p>
        </w:tc>
        <w:tc>
          <w:tcPr>
            <w:tcW w:w="956" w:type="pct"/>
            <w:gridSpan w:val="2"/>
            <w:vAlign w:val="center"/>
          </w:tcPr>
          <w:p w:rsidR="00AD7FE3" w:rsidRPr="00CC7CC7" w:rsidRDefault="00C822C0" w:rsidP="00A67292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CC7CC7">
              <w:rPr>
                <w:rFonts w:asciiTheme="minorHAnsi" w:eastAsiaTheme="minorEastAsia" w:hAnsiTheme="minorHAnsi"/>
              </w:rPr>
              <w:t>20.880</w:t>
            </w:r>
          </w:p>
        </w:tc>
      </w:tr>
    </w:tbl>
    <w:p w:rsidR="00C822C0" w:rsidRDefault="00C822C0" w:rsidP="00C822C0">
      <w:pPr>
        <w:spacing w:after="120"/>
      </w:pPr>
    </w:p>
    <w:p w:rsidR="000B0DD5" w:rsidRDefault="000B0DD5" w:rsidP="00C822C0">
      <w:pPr>
        <w:spacing w:after="120"/>
      </w:pPr>
    </w:p>
    <w:p w:rsidR="0025530A" w:rsidRDefault="0025530A" w:rsidP="00C822C0">
      <w:pPr>
        <w:spacing w:after="120"/>
        <w:rPr>
          <w:b/>
        </w:rPr>
      </w:pPr>
    </w:p>
    <w:p w:rsidR="000B0DD5" w:rsidRPr="000B0DD5" w:rsidRDefault="000B0DD5" w:rsidP="00C822C0">
      <w:pPr>
        <w:spacing w:after="120"/>
        <w:rPr>
          <w:b/>
        </w:rPr>
      </w:pPr>
      <w:r w:rsidRPr="000B0DD5">
        <w:rPr>
          <w:b/>
        </w:rPr>
        <w:lastRenderedPageBreak/>
        <w:t>Struktura poslovnog rezultata iskazanog manjka 2015. godine – po izvorima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2506"/>
        <w:gridCol w:w="3307"/>
        <w:gridCol w:w="1122"/>
        <w:gridCol w:w="1208"/>
        <w:gridCol w:w="1145"/>
      </w:tblGrid>
      <w:tr w:rsidR="0067262E" w:rsidTr="0025530A">
        <w:trPr>
          <w:cnfStyle w:val="100000000000"/>
        </w:trPr>
        <w:tc>
          <w:tcPr>
            <w:cnfStyle w:val="001000000100"/>
            <w:tcW w:w="13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B3EE0" w:rsidRPr="0025530A" w:rsidRDefault="003B3EE0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8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25530A" w:rsidRDefault="003B3EE0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25530A" w:rsidRDefault="003B3EE0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Preneseni višak 2014. godine.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25530A" w:rsidRDefault="003B3EE0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Rezultat poslovanja 2015. godine</w:t>
            </w:r>
          </w:p>
        </w:tc>
        <w:tc>
          <w:tcPr>
            <w:tcW w:w="6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25530A" w:rsidRDefault="003411D6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Višak prihoda raspoloživ u sljedećem razdoblju</w:t>
            </w:r>
            <w:r w:rsidR="003B3EE0"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)</w:t>
            </w:r>
          </w:p>
        </w:tc>
      </w:tr>
      <w:tr w:rsidR="0067262E" w:rsidTr="0025530A">
        <w:trPr>
          <w:cnfStyle w:val="000000100000"/>
        </w:trPr>
        <w:tc>
          <w:tcPr>
            <w:cnfStyle w:val="001000000000"/>
            <w:tcW w:w="13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B3EE0" w:rsidRDefault="003B3EE0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18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Default="003B3EE0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Default="003B3EE0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Default="003B3EE0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6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B3EE0" w:rsidRDefault="003B3EE0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7262E" w:rsidTr="0025530A">
        <w:tc>
          <w:tcPr>
            <w:cnfStyle w:val="001000000000"/>
            <w:tcW w:w="13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B3EE0" w:rsidRDefault="003B3EE0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92211</w:t>
            </w:r>
          </w:p>
        </w:tc>
        <w:tc>
          <w:tcPr>
            <w:tcW w:w="1813" w:type="pct"/>
            <w:vAlign w:val="center"/>
          </w:tcPr>
          <w:p w:rsidR="003B3EE0" w:rsidRDefault="003B3EE0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Višak prihoda poslovanja Vlastita sredstva škole</w:t>
            </w:r>
          </w:p>
        </w:tc>
        <w:tc>
          <w:tcPr>
            <w:tcW w:w="594" w:type="pct"/>
            <w:vAlign w:val="center"/>
          </w:tcPr>
          <w:p w:rsidR="003B3EE0" w:rsidRDefault="003B3EE0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20.307</w:t>
            </w:r>
          </w:p>
        </w:tc>
        <w:tc>
          <w:tcPr>
            <w:tcW w:w="636" w:type="pct"/>
            <w:vAlign w:val="center"/>
          </w:tcPr>
          <w:p w:rsidR="003B3EE0" w:rsidRDefault="003411D6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34.216</w:t>
            </w:r>
          </w:p>
        </w:tc>
        <w:tc>
          <w:tcPr>
            <w:tcW w:w="602" w:type="pct"/>
            <w:vAlign w:val="center"/>
          </w:tcPr>
          <w:p w:rsidR="003B3EE0" w:rsidRDefault="003411D6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54.523</w:t>
            </w:r>
          </w:p>
        </w:tc>
      </w:tr>
      <w:tr w:rsidR="0067262E" w:rsidTr="0025530A">
        <w:trPr>
          <w:cnfStyle w:val="000000100000"/>
        </w:trPr>
        <w:tc>
          <w:tcPr>
            <w:cnfStyle w:val="001000000000"/>
            <w:tcW w:w="13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B3EE0" w:rsidRDefault="003B3EE0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92211</w:t>
            </w:r>
          </w:p>
        </w:tc>
        <w:tc>
          <w:tcPr>
            <w:tcW w:w="18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Default="003B3EE0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Višak prihoda poslovanja Hrvatski zavod za zapošljavanje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Default="003B3EE0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Default="003411D6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11.287</w:t>
            </w:r>
          </w:p>
        </w:tc>
        <w:tc>
          <w:tcPr>
            <w:tcW w:w="6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B3EE0" w:rsidRDefault="00AC23C4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11.</w:t>
            </w:r>
            <w:r w:rsidR="003411D6">
              <w:rPr>
                <w:rFonts w:asciiTheme="minorHAnsi" w:eastAsiaTheme="minorEastAsia" w:hAnsiTheme="minorHAnsi" w:cstheme="minorBidi"/>
                <w:color w:val="auto"/>
              </w:rPr>
              <w:t>287</w:t>
            </w:r>
          </w:p>
        </w:tc>
      </w:tr>
      <w:tr w:rsidR="0067262E" w:rsidTr="0025530A">
        <w:tc>
          <w:tcPr>
            <w:cnfStyle w:val="001000000000"/>
            <w:tcW w:w="13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B3EE0" w:rsidRDefault="003B3EE0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92221</w:t>
            </w:r>
          </w:p>
        </w:tc>
        <w:tc>
          <w:tcPr>
            <w:tcW w:w="1813" w:type="pct"/>
            <w:vAlign w:val="center"/>
          </w:tcPr>
          <w:p w:rsidR="003B3EE0" w:rsidRDefault="003B3EE0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Manjak prihoda poslovanja Ministarstvo</w:t>
            </w:r>
          </w:p>
        </w:tc>
        <w:tc>
          <w:tcPr>
            <w:tcW w:w="594" w:type="pct"/>
            <w:vAlign w:val="center"/>
          </w:tcPr>
          <w:p w:rsidR="003B3EE0" w:rsidRDefault="003411D6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131</w:t>
            </w:r>
          </w:p>
        </w:tc>
        <w:tc>
          <w:tcPr>
            <w:tcW w:w="636" w:type="pct"/>
            <w:vAlign w:val="center"/>
          </w:tcPr>
          <w:p w:rsidR="003B3EE0" w:rsidRDefault="003411D6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-42.517</w:t>
            </w:r>
          </w:p>
        </w:tc>
        <w:tc>
          <w:tcPr>
            <w:tcW w:w="602" w:type="pct"/>
            <w:vAlign w:val="center"/>
          </w:tcPr>
          <w:p w:rsidR="003B3EE0" w:rsidRDefault="008B2EB1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-42.</w:t>
            </w:r>
            <w:r w:rsidR="003411D6">
              <w:rPr>
                <w:rFonts w:asciiTheme="minorHAnsi" w:eastAsiaTheme="minorEastAsia" w:hAnsiTheme="minorHAnsi" w:cstheme="minorBidi"/>
                <w:color w:val="auto"/>
              </w:rPr>
              <w:t>386</w:t>
            </w:r>
          </w:p>
        </w:tc>
      </w:tr>
      <w:tr w:rsidR="0067262E" w:rsidTr="0025530A">
        <w:trPr>
          <w:cnfStyle w:val="000000100000"/>
        </w:trPr>
        <w:tc>
          <w:tcPr>
            <w:cnfStyle w:val="001000000000"/>
            <w:tcW w:w="13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3B3EE0" w:rsidRPr="00CC7CC7" w:rsidRDefault="003B3EE0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CC7CC7">
              <w:rPr>
                <w:rFonts w:asciiTheme="minorHAnsi" w:eastAsiaTheme="minorEastAsia" w:hAnsiTheme="minorHAnsi"/>
              </w:rPr>
              <w:t>92221</w:t>
            </w:r>
          </w:p>
        </w:tc>
        <w:tc>
          <w:tcPr>
            <w:tcW w:w="18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CC7CC7" w:rsidRDefault="003B3EE0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CC7CC7">
              <w:rPr>
                <w:rFonts w:asciiTheme="minorHAnsi" w:eastAsiaTheme="minorEastAsia" w:hAnsiTheme="minorHAnsi"/>
              </w:rPr>
              <w:t xml:space="preserve">Manjak </w:t>
            </w:r>
            <w:r w:rsidRPr="00CC7CC7">
              <w:rPr>
                <w:rFonts w:asciiTheme="minorHAnsi" w:eastAsiaTheme="minorEastAsia" w:hAnsiTheme="minorHAnsi" w:cstheme="minorBidi"/>
                <w:color w:val="auto"/>
              </w:rPr>
              <w:t>prihoda</w:t>
            </w:r>
            <w:r w:rsidRPr="00CC7CC7">
              <w:rPr>
                <w:rFonts w:asciiTheme="minorHAnsi" w:eastAsiaTheme="minorEastAsia" w:hAnsiTheme="minorHAnsi"/>
              </w:rPr>
              <w:t xml:space="preserve"> p</w:t>
            </w:r>
            <w:r w:rsidRPr="00CC7CC7">
              <w:rPr>
                <w:rFonts w:asciiTheme="minorHAnsi" w:eastAsiaTheme="minorEastAsia" w:hAnsiTheme="minorHAnsi" w:cstheme="minorBidi"/>
                <w:color w:val="auto"/>
              </w:rPr>
              <w:t>o</w:t>
            </w:r>
            <w:r w:rsidRPr="00CC7CC7">
              <w:rPr>
                <w:rFonts w:asciiTheme="minorHAnsi" w:eastAsiaTheme="minorEastAsia" w:hAnsiTheme="minorHAnsi"/>
              </w:rPr>
              <w:t>slovanja Županija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CC7CC7" w:rsidRDefault="003B3EE0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CC7CC7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B3EE0" w:rsidRPr="00CC7CC7" w:rsidRDefault="003411D6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CC7CC7">
              <w:rPr>
                <w:rFonts w:asciiTheme="minorHAnsi" w:eastAsiaTheme="minorEastAsia" w:hAnsiTheme="minorHAnsi"/>
              </w:rPr>
              <w:t>-44.304</w:t>
            </w:r>
          </w:p>
        </w:tc>
        <w:tc>
          <w:tcPr>
            <w:tcW w:w="6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B3EE0" w:rsidRPr="00CC7CC7" w:rsidRDefault="008B2EB1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-44.</w:t>
            </w:r>
            <w:r w:rsidR="003411D6" w:rsidRPr="00CC7CC7">
              <w:rPr>
                <w:rFonts w:asciiTheme="minorHAnsi" w:eastAsiaTheme="minorEastAsia" w:hAnsiTheme="minorHAnsi"/>
              </w:rPr>
              <w:t>304</w:t>
            </w:r>
          </w:p>
        </w:tc>
      </w:tr>
      <w:tr w:rsidR="0067262E" w:rsidTr="0025530A">
        <w:tc>
          <w:tcPr>
            <w:cnfStyle w:val="001000000000"/>
            <w:tcW w:w="4398" w:type="pct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7262E" w:rsidRPr="00CC7CC7" w:rsidRDefault="0067262E" w:rsidP="0025530A">
            <w:pPr>
              <w:spacing w:after="120"/>
              <w:jc w:val="center"/>
              <w:rPr>
                <w:rFonts w:asciiTheme="minorHAnsi" w:eastAsiaTheme="minorEastAsia" w:hAnsiTheme="minorHAnsi"/>
                <w:b/>
              </w:rPr>
            </w:pPr>
            <w:r w:rsidRPr="00CC7CC7">
              <w:rPr>
                <w:rFonts w:asciiTheme="minorHAnsi" w:eastAsiaTheme="minorEastAsia" w:hAnsiTheme="minorHAnsi"/>
                <w:b/>
              </w:rPr>
              <w:t>Poslovni rezultat/manjak prihoda Poslovanja 2015. godine</w:t>
            </w:r>
          </w:p>
          <w:p w:rsidR="0067262E" w:rsidRPr="00CC7CC7" w:rsidRDefault="0067262E" w:rsidP="0025530A">
            <w:pPr>
              <w:spacing w:after="120"/>
              <w:jc w:val="center"/>
              <w:rPr>
                <w:rFonts w:asciiTheme="minorHAnsi" w:eastAsiaTheme="minorEastAsia" w:hAnsiTheme="minorHAnsi"/>
                <w:b/>
              </w:rPr>
            </w:pPr>
            <w:r w:rsidRPr="00CC7CC7">
              <w:rPr>
                <w:rFonts w:asciiTheme="minorHAnsi" w:eastAsiaTheme="minorEastAsia" w:hAnsiTheme="minorHAnsi"/>
                <w:b/>
              </w:rPr>
              <w:t>Iskazan u  PR-RAS-u ( AOP 605) i Bilanci( AOP 237)</w:t>
            </w:r>
          </w:p>
        </w:tc>
        <w:tc>
          <w:tcPr>
            <w:tcW w:w="602" w:type="pct"/>
            <w:vAlign w:val="center"/>
          </w:tcPr>
          <w:p w:rsidR="0067262E" w:rsidRPr="00CC7CC7" w:rsidRDefault="00CC7CC7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-</w:t>
            </w:r>
            <w:r w:rsidR="0067262E" w:rsidRPr="00CC7CC7">
              <w:rPr>
                <w:rFonts w:asciiTheme="minorHAnsi" w:eastAsiaTheme="minorEastAsia" w:hAnsiTheme="minorHAnsi"/>
                <w:b/>
              </w:rPr>
              <w:t>20.880</w:t>
            </w:r>
          </w:p>
        </w:tc>
      </w:tr>
    </w:tbl>
    <w:p w:rsidR="0090640C" w:rsidRDefault="0090640C" w:rsidP="0090640C">
      <w:pPr>
        <w:spacing w:after="120"/>
      </w:pPr>
      <w:r>
        <w:t>Škola je za 2015. godinu iskazala manjak prihoda poslovanja zbog modificiranog načela nastanka događaja.</w:t>
      </w:r>
      <w:r w:rsidRPr="00C822C0">
        <w:t xml:space="preserve"> </w:t>
      </w:r>
      <w:r>
        <w:t>Do ove godine Okružnicama Ministarstva financija bilo je omogućeno odstupanje od primjene gotovinskog načela iskazivanja prihoda propisanog Pravilnikom o proračunskom računovodstvu i Računskom planu kod evidencije doznaka sredstava pomoći izravnanja za decentralizirane funkcije. Do 2014. godine korisnici su priznavali prihode 2014. godine koje su dobili od nadležne jedinice lokalne samouprave u 2015. godini za podmirenje obaveza po rashodima koji se financiraju iz pomoći izravnanja. To odstupanje se više ne promjenjuje u 2015. godini i škola je kao proračunski korisnik iskazala rashode i obveza nastale u 2015. godini bez obzira  što te obveze nisu i podmirene u 2015. godini jer su sredstva školi za iste obveze doznačena u 2016. godini. Zbog ovog modificiranog načela nastanka događaja škola je završila godinu s manjkom, a uspješno je poslovala i zbog toga ima i indeks povećanja obveza na kraju 2015. godine u odnosu na početak godine.</w:t>
      </w:r>
    </w:p>
    <w:p w:rsidR="0090640C" w:rsidRDefault="0090640C" w:rsidP="0090640C">
      <w:pPr>
        <w:spacing w:after="120"/>
      </w:pPr>
      <w:r>
        <w:t xml:space="preserve"> Doznakom sredstava za iskazane rashode i obveze koji su iskazani u 2015. godini, a koji su školi dostupni u 2016. godini, iskazani manjak po godišnjem izvještaju će biti sveden na 0 i bit će vidljivo da je škola 2015. godinu završila s viškom ( Vlastita sredstva i sredstva HZZ za volontere).</w:t>
      </w:r>
    </w:p>
    <w:p w:rsidR="0090640C" w:rsidRDefault="0090640C" w:rsidP="0090640C">
      <w:pPr>
        <w:spacing w:after="120"/>
      </w:pPr>
    </w:p>
    <w:p w:rsidR="00CA1462" w:rsidRPr="000B0DD5" w:rsidRDefault="00CA1462" w:rsidP="00051447">
      <w:pPr>
        <w:spacing w:after="120"/>
        <w:rPr>
          <w:b/>
        </w:rPr>
      </w:pPr>
    </w:p>
    <w:p w:rsidR="00D51FE3" w:rsidRDefault="00D51FE3" w:rsidP="0025530A">
      <w:pPr>
        <w:spacing w:after="120"/>
        <w:jc w:val="center"/>
      </w:pPr>
    </w:p>
    <w:p w:rsidR="0025530A" w:rsidRDefault="0025530A" w:rsidP="0025530A">
      <w:pPr>
        <w:spacing w:after="120"/>
        <w:jc w:val="center"/>
        <w:rPr>
          <w:b/>
        </w:rPr>
      </w:pPr>
    </w:p>
    <w:p w:rsidR="0025530A" w:rsidRDefault="0025530A" w:rsidP="0025530A">
      <w:pPr>
        <w:spacing w:after="120"/>
        <w:jc w:val="center"/>
        <w:rPr>
          <w:b/>
        </w:rPr>
      </w:pPr>
    </w:p>
    <w:p w:rsidR="0025530A" w:rsidRDefault="0025530A" w:rsidP="0025530A">
      <w:pPr>
        <w:spacing w:after="120"/>
        <w:jc w:val="center"/>
        <w:rPr>
          <w:b/>
        </w:rPr>
      </w:pPr>
    </w:p>
    <w:p w:rsidR="0025530A" w:rsidRDefault="0025530A" w:rsidP="0025530A">
      <w:pPr>
        <w:spacing w:after="120"/>
        <w:jc w:val="center"/>
        <w:rPr>
          <w:b/>
        </w:rPr>
      </w:pPr>
    </w:p>
    <w:p w:rsidR="0025530A" w:rsidRDefault="0025530A" w:rsidP="0025530A">
      <w:pPr>
        <w:spacing w:after="120"/>
        <w:jc w:val="center"/>
        <w:rPr>
          <w:b/>
        </w:rPr>
      </w:pPr>
    </w:p>
    <w:p w:rsidR="00A36221" w:rsidRPr="00273361" w:rsidRDefault="00273361" w:rsidP="0025530A">
      <w:pPr>
        <w:spacing w:after="120"/>
        <w:jc w:val="center"/>
        <w:rPr>
          <w:b/>
        </w:rPr>
      </w:pPr>
      <w:r w:rsidRPr="00273361">
        <w:rPr>
          <w:b/>
        </w:rPr>
        <w:lastRenderedPageBreak/>
        <w:t>Bilješke uz izvještaj o prihodima i rashodima, primicima i izdacima</w:t>
      </w:r>
    </w:p>
    <w:p w:rsidR="00A36221" w:rsidRDefault="00273361" w:rsidP="0025530A">
      <w:pPr>
        <w:spacing w:after="120"/>
        <w:ind w:left="2832" w:firstLine="708"/>
        <w:rPr>
          <w:b/>
        </w:rPr>
      </w:pPr>
      <w:r w:rsidRPr="00273361">
        <w:rPr>
          <w:b/>
        </w:rPr>
        <w:t>Obrazac PR-RAS</w:t>
      </w:r>
    </w:p>
    <w:p w:rsidR="001F7DF1" w:rsidRDefault="001F7DF1" w:rsidP="00051447">
      <w:pPr>
        <w:spacing w:after="120"/>
        <w:ind w:left="3540" w:firstLine="708"/>
      </w:pPr>
    </w:p>
    <w:p w:rsidR="00E57D4F" w:rsidRPr="00D51FE3" w:rsidRDefault="001F7DF1" w:rsidP="00051447">
      <w:pPr>
        <w:spacing w:after="120"/>
        <w:rPr>
          <w:b/>
        </w:rPr>
      </w:pPr>
      <w:r w:rsidRPr="001F7DF1">
        <w:rPr>
          <w:b/>
        </w:rPr>
        <w:t>Bilješka uz AOP 147- Rashodi poslovanja</w:t>
      </w:r>
      <w:r w:rsidR="009D3448">
        <w:tab/>
      </w:r>
    </w:p>
    <w:tbl>
      <w:tblPr>
        <w:tblStyle w:val="Srednjipopis2-Isticanje1"/>
        <w:tblW w:w="4942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1513"/>
        <w:gridCol w:w="2554"/>
        <w:gridCol w:w="1557"/>
        <w:gridCol w:w="1131"/>
        <w:gridCol w:w="1555"/>
        <w:gridCol w:w="870"/>
      </w:tblGrid>
      <w:tr w:rsidR="00D840DF" w:rsidRPr="0025530A" w:rsidTr="0025530A">
        <w:trPr>
          <w:cnfStyle w:val="100000000000"/>
        </w:trPr>
        <w:tc>
          <w:tcPr>
            <w:cnfStyle w:val="001000000100"/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25530A" w:rsidRDefault="00E57D4F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Razred</w:t>
            </w:r>
          </w:p>
        </w:tc>
        <w:tc>
          <w:tcPr>
            <w:tcW w:w="13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E57D4F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Rashodi i izdaci</w:t>
            </w:r>
          </w:p>
        </w:tc>
        <w:tc>
          <w:tcPr>
            <w:tcW w:w="8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E57D4F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2014. godina</w:t>
            </w:r>
          </w:p>
        </w:tc>
        <w:tc>
          <w:tcPr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E57D4F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Index</w:t>
            </w:r>
            <w:proofErr w:type="spellEnd"/>
          </w:p>
        </w:tc>
        <w:tc>
          <w:tcPr>
            <w:tcW w:w="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E57D4F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2015 godina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E57D4F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Index</w:t>
            </w:r>
            <w:proofErr w:type="spellEnd"/>
          </w:p>
        </w:tc>
      </w:tr>
      <w:tr w:rsidR="00D840DF" w:rsidRPr="0025530A" w:rsidTr="0025530A">
        <w:trPr>
          <w:cnfStyle w:val="000000100000"/>
        </w:trPr>
        <w:tc>
          <w:tcPr>
            <w:cnfStyle w:val="001000000000"/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25530A" w:rsidRDefault="00E57D4F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3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E57D4F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Rashodi poslovanja</w:t>
            </w:r>
          </w:p>
        </w:tc>
        <w:tc>
          <w:tcPr>
            <w:tcW w:w="8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D840DF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4.531.019</w:t>
            </w:r>
          </w:p>
        </w:tc>
        <w:tc>
          <w:tcPr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821467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99,48</w:t>
            </w:r>
          </w:p>
        </w:tc>
        <w:tc>
          <w:tcPr>
            <w:tcW w:w="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8B2EB1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4.715.162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7D4F" w:rsidRPr="0025530A" w:rsidRDefault="008B2EB1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104,1</w:t>
            </w:r>
          </w:p>
        </w:tc>
      </w:tr>
      <w:tr w:rsidR="00E57D4F" w:rsidRPr="0025530A" w:rsidTr="0025530A">
        <w:trPr>
          <w:trHeight w:val="298"/>
        </w:trPr>
        <w:tc>
          <w:tcPr>
            <w:cnfStyle w:val="001000000000"/>
            <w:tcW w:w="82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25530A" w:rsidRDefault="00E57D4F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1391" w:type="pct"/>
            <w:vAlign w:val="center"/>
          </w:tcPr>
          <w:p w:rsidR="00E57D4F" w:rsidRPr="0025530A" w:rsidRDefault="00E57D4F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Rashodi za nabavu nefinancijske imovine</w:t>
            </w:r>
          </w:p>
        </w:tc>
        <w:tc>
          <w:tcPr>
            <w:tcW w:w="848" w:type="pct"/>
            <w:vAlign w:val="center"/>
          </w:tcPr>
          <w:p w:rsidR="00E57D4F" w:rsidRPr="0025530A" w:rsidRDefault="00D840DF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23.655</w:t>
            </w:r>
          </w:p>
        </w:tc>
        <w:tc>
          <w:tcPr>
            <w:tcW w:w="616" w:type="pct"/>
            <w:vAlign w:val="center"/>
          </w:tcPr>
          <w:p w:rsidR="00E57D4F" w:rsidRPr="0025530A" w:rsidRDefault="00821467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0,52</w:t>
            </w:r>
          </w:p>
        </w:tc>
        <w:tc>
          <w:tcPr>
            <w:tcW w:w="847" w:type="pct"/>
            <w:vAlign w:val="center"/>
          </w:tcPr>
          <w:p w:rsidR="00E57D4F" w:rsidRPr="0025530A" w:rsidRDefault="00D840DF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101.616</w:t>
            </w:r>
          </w:p>
        </w:tc>
        <w:tc>
          <w:tcPr>
            <w:tcW w:w="474" w:type="pct"/>
            <w:vAlign w:val="center"/>
          </w:tcPr>
          <w:p w:rsidR="00E57D4F" w:rsidRPr="0025530A" w:rsidRDefault="008B2EB1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2,</w:t>
            </w:r>
            <w:r w:rsidR="00821467" w:rsidRPr="0025530A">
              <w:rPr>
                <w:rFonts w:asciiTheme="minorHAnsi" w:eastAsiaTheme="minorEastAsia" w:hAnsiTheme="minorHAnsi" w:cstheme="minorBidi"/>
                <w:color w:val="auto"/>
              </w:rPr>
              <w:t>11</w:t>
            </w:r>
          </w:p>
        </w:tc>
      </w:tr>
      <w:tr w:rsidR="00D840DF" w:rsidRPr="0025530A" w:rsidTr="0025530A">
        <w:trPr>
          <w:cnfStyle w:val="000000100000"/>
        </w:trPr>
        <w:tc>
          <w:tcPr>
            <w:cnfStyle w:val="001000000000"/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25530A" w:rsidRDefault="00E57D4F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13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D840DF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Izdaci za financijsku imovinu</w:t>
            </w:r>
          </w:p>
        </w:tc>
        <w:tc>
          <w:tcPr>
            <w:tcW w:w="8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D840DF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D840DF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25530A" w:rsidRDefault="00D840DF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7D4F" w:rsidRPr="0025530A" w:rsidRDefault="00D840DF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</w:tr>
      <w:tr w:rsidR="00E57D4F" w:rsidRPr="0025530A" w:rsidTr="0025530A">
        <w:tc>
          <w:tcPr>
            <w:cnfStyle w:val="001000000000"/>
            <w:tcW w:w="82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25530A" w:rsidRDefault="00E57D4F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91" w:type="pct"/>
            <w:vAlign w:val="center"/>
          </w:tcPr>
          <w:p w:rsidR="00E57D4F" w:rsidRPr="0025530A" w:rsidRDefault="00D840DF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Ukupno</w:t>
            </w:r>
          </w:p>
        </w:tc>
        <w:tc>
          <w:tcPr>
            <w:tcW w:w="848" w:type="pct"/>
            <w:vAlign w:val="center"/>
          </w:tcPr>
          <w:p w:rsidR="00E57D4F" w:rsidRPr="0025530A" w:rsidRDefault="00D840DF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6.554.674</w:t>
            </w:r>
          </w:p>
        </w:tc>
        <w:tc>
          <w:tcPr>
            <w:tcW w:w="616" w:type="pct"/>
            <w:vAlign w:val="center"/>
          </w:tcPr>
          <w:p w:rsidR="00E57D4F" w:rsidRPr="0025530A" w:rsidRDefault="00821467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100,00</w:t>
            </w:r>
          </w:p>
        </w:tc>
        <w:tc>
          <w:tcPr>
            <w:tcW w:w="847" w:type="pct"/>
            <w:vAlign w:val="center"/>
          </w:tcPr>
          <w:p w:rsidR="00E57D4F" w:rsidRPr="0025530A" w:rsidRDefault="008B2EB1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4.818.778</w:t>
            </w:r>
          </w:p>
        </w:tc>
        <w:tc>
          <w:tcPr>
            <w:tcW w:w="474" w:type="pct"/>
            <w:vAlign w:val="center"/>
          </w:tcPr>
          <w:p w:rsidR="00E57D4F" w:rsidRPr="0025530A" w:rsidRDefault="00821467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100,00</w:t>
            </w:r>
          </w:p>
        </w:tc>
      </w:tr>
    </w:tbl>
    <w:p w:rsidR="00035058" w:rsidRDefault="00DC1AEC" w:rsidP="00051447">
      <w:pPr>
        <w:spacing w:after="120"/>
      </w:pPr>
      <w:r>
        <w:t>U 2014. godini  Proračun koji nije nadležan i škola iz vlastitih prihoda poslovanja financirala je nabavku dugotrajne imovine. U 2015. došlo je do povećanja ulaganja u dugotrajnu imovinu, a izvor financiranja je dijelom nadležni Proračun</w:t>
      </w:r>
      <w:r w:rsidR="005C3A92">
        <w:t xml:space="preserve"> ( 73.751</w:t>
      </w:r>
      <w:r>
        <w:t xml:space="preserve"> kn)</w:t>
      </w:r>
      <w:r w:rsidR="005C3A92">
        <w:t>,</w:t>
      </w:r>
      <w:r>
        <w:t xml:space="preserve"> dio Proračun koji nije nadležan ( 12.190 kn) te dio Škola iz vlastitih prihoda poslovanja ( 15.675 kn)</w:t>
      </w:r>
      <w:r w:rsidR="00E83922">
        <w:t>.</w:t>
      </w:r>
    </w:p>
    <w:p w:rsidR="00CA1462" w:rsidRDefault="00CA1462" w:rsidP="00051447">
      <w:pPr>
        <w:spacing w:after="120"/>
        <w:rPr>
          <w:b/>
        </w:rPr>
      </w:pPr>
    </w:p>
    <w:p w:rsidR="00035058" w:rsidRPr="00D51FE3" w:rsidRDefault="00E83922" w:rsidP="00051447">
      <w:pPr>
        <w:spacing w:after="120"/>
        <w:rPr>
          <w:b/>
        </w:rPr>
      </w:pPr>
      <w:r w:rsidRPr="00035058">
        <w:rPr>
          <w:b/>
        </w:rPr>
        <w:t>Bilješke uz AOP 634 – Manjak prihoda i primitaka</w:t>
      </w:r>
    </w:p>
    <w:tbl>
      <w:tblPr>
        <w:tblStyle w:val="Srednjipopis2-Isticanje1"/>
        <w:tblW w:w="5095" w:type="pct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/>
      </w:tblPr>
      <w:tblGrid>
        <w:gridCol w:w="4219"/>
        <w:gridCol w:w="1378"/>
        <w:gridCol w:w="1315"/>
        <w:gridCol w:w="1276"/>
        <w:gridCol w:w="1276"/>
      </w:tblGrid>
      <w:tr w:rsidR="00CC4845" w:rsidRPr="0025530A" w:rsidTr="0025530A">
        <w:trPr>
          <w:cnfStyle w:val="100000000000"/>
        </w:trPr>
        <w:tc>
          <w:tcPr>
            <w:cnfStyle w:val="001000000100"/>
            <w:tcW w:w="22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7D35EE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Opis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7D35EE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2012. godina</w:t>
            </w:r>
          </w:p>
        </w:tc>
        <w:tc>
          <w:tcPr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7D35EE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21013. godina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7D35EE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2014. godina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7D35EE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2015. godina</w:t>
            </w:r>
          </w:p>
        </w:tc>
      </w:tr>
      <w:tr w:rsidR="00CC4845" w:rsidRPr="0025530A" w:rsidTr="0025530A">
        <w:trPr>
          <w:cnfStyle w:val="000000100000"/>
          <w:trHeight w:val="298"/>
        </w:trPr>
        <w:tc>
          <w:tcPr>
            <w:cnfStyle w:val="001000000000"/>
            <w:tcW w:w="22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7D35EE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Prihodi poslovanja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4.802.283</w:t>
            </w:r>
          </w:p>
        </w:tc>
        <w:tc>
          <w:tcPr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4B1AA6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4.773.533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921D6E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4.554.604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35EE" w:rsidRPr="0025530A" w:rsidRDefault="00921D6E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4.775.460</w:t>
            </w:r>
          </w:p>
        </w:tc>
      </w:tr>
      <w:tr w:rsidR="00CC4845" w:rsidRPr="0025530A" w:rsidTr="0025530A">
        <w:trPr>
          <w:trHeight w:val="335"/>
        </w:trPr>
        <w:tc>
          <w:tcPr>
            <w:cnfStyle w:val="001000000000"/>
            <w:tcW w:w="22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7D35EE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Prihodi od prodaje nefinancijske imovine</w:t>
            </w:r>
          </w:p>
        </w:tc>
        <w:tc>
          <w:tcPr>
            <w:tcW w:w="728" w:type="pct"/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695" w:type="pct"/>
            <w:vAlign w:val="center"/>
          </w:tcPr>
          <w:p w:rsidR="007D35EE" w:rsidRPr="0025530A" w:rsidRDefault="004B1AA6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674" w:type="pct"/>
            <w:vAlign w:val="center"/>
          </w:tcPr>
          <w:p w:rsidR="007D35EE" w:rsidRPr="0025530A" w:rsidRDefault="00921D6E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  <w:tc>
          <w:tcPr>
            <w:tcW w:w="674" w:type="pct"/>
            <w:vAlign w:val="center"/>
          </w:tcPr>
          <w:p w:rsidR="007D35EE" w:rsidRPr="0025530A" w:rsidRDefault="00921D6E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-</w:t>
            </w:r>
          </w:p>
        </w:tc>
      </w:tr>
      <w:tr w:rsidR="00CC4845" w:rsidRPr="0025530A" w:rsidTr="0025530A">
        <w:trPr>
          <w:cnfStyle w:val="000000100000"/>
        </w:trPr>
        <w:tc>
          <w:tcPr>
            <w:cnfStyle w:val="001000000000"/>
            <w:tcW w:w="22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7D35EE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Primici</w:t>
            </w:r>
            <w:r w:rsidRPr="0025530A">
              <w:rPr>
                <w:rFonts w:asciiTheme="minorHAnsi" w:eastAsiaTheme="minorEastAsia" w:hAnsiTheme="minorHAnsi"/>
              </w:rPr>
              <w:t xml:space="preserve"> </w:t>
            </w: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od</w:t>
            </w:r>
            <w:r w:rsidRPr="0025530A">
              <w:rPr>
                <w:rFonts w:asciiTheme="minorHAnsi" w:eastAsiaTheme="minorEastAsia" w:hAnsiTheme="minorHAnsi"/>
              </w:rPr>
              <w:t xml:space="preserve"> </w:t>
            </w:r>
            <w:r w:rsidR="00035058" w:rsidRPr="0025530A">
              <w:rPr>
                <w:rFonts w:asciiTheme="minorHAnsi" w:eastAsiaTheme="minorEastAsia" w:hAnsiTheme="minorHAnsi" w:cstheme="minorBidi"/>
                <w:color w:val="auto"/>
              </w:rPr>
              <w:t>nefinan</w:t>
            </w: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cijske</w:t>
            </w:r>
            <w:r w:rsidRPr="0025530A">
              <w:rPr>
                <w:rFonts w:asciiTheme="minorHAnsi" w:eastAsiaTheme="minorEastAsia" w:hAnsiTheme="minorHAnsi"/>
              </w:rPr>
              <w:t xml:space="preserve"> imovine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-</w:t>
            </w:r>
          </w:p>
        </w:tc>
        <w:tc>
          <w:tcPr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4B1AA6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921D6E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35EE" w:rsidRPr="0025530A" w:rsidRDefault="00921D6E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-</w:t>
            </w:r>
          </w:p>
        </w:tc>
      </w:tr>
      <w:tr w:rsidR="00CC4845" w:rsidRPr="0025530A" w:rsidTr="0025530A">
        <w:tc>
          <w:tcPr>
            <w:cnfStyle w:val="001000000000"/>
            <w:tcW w:w="22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7D35EE" w:rsidP="0025530A">
            <w:pPr>
              <w:spacing w:after="120"/>
              <w:jc w:val="center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</w:rPr>
              <w:t>Ukupni</w:t>
            </w:r>
            <w:r w:rsidRPr="0025530A">
              <w:rPr>
                <w:rFonts w:asciiTheme="minorHAnsi" w:eastAsiaTheme="minorEastAsia" w:hAnsiTheme="minorHAnsi"/>
                <w:b/>
              </w:rPr>
              <w:t xml:space="preserve"> </w:t>
            </w:r>
            <w:r w:rsidRPr="0025530A">
              <w:rPr>
                <w:rFonts w:asciiTheme="minorHAnsi" w:eastAsiaTheme="minorEastAsia" w:hAnsiTheme="minorHAnsi" w:cstheme="minorBidi"/>
                <w:b/>
                <w:color w:val="auto"/>
              </w:rPr>
              <w:t>prihodi</w:t>
            </w:r>
            <w:r w:rsidRPr="0025530A">
              <w:rPr>
                <w:rFonts w:asciiTheme="minorHAnsi" w:eastAsiaTheme="minorEastAsia" w:hAnsiTheme="minorHAnsi"/>
                <w:b/>
              </w:rPr>
              <w:t xml:space="preserve"> i primici</w:t>
            </w:r>
          </w:p>
        </w:tc>
        <w:tc>
          <w:tcPr>
            <w:tcW w:w="728" w:type="pct"/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4.802.283</w:t>
            </w:r>
          </w:p>
        </w:tc>
        <w:tc>
          <w:tcPr>
            <w:tcW w:w="695" w:type="pct"/>
            <w:vAlign w:val="center"/>
          </w:tcPr>
          <w:p w:rsidR="007D35EE" w:rsidRPr="0025530A" w:rsidRDefault="004B1AA6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4.773.533</w:t>
            </w:r>
          </w:p>
        </w:tc>
        <w:tc>
          <w:tcPr>
            <w:tcW w:w="674" w:type="pct"/>
            <w:vAlign w:val="center"/>
          </w:tcPr>
          <w:p w:rsidR="007D35EE" w:rsidRPr="0025530A" w:rsidRDefault="00921D6E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4.554.604</w:t>
            </w:r>
          </w:p>
        </w:tc>
        <w:tc>
          <w:tcPr>
            <w:tcW w:w="674" w:type="pct"/>
            <w:vAlign w:val="center"/>
          </w:tcPr>
          <w:p w:rsidR="007D35EE" w:rsidRPr="0025530A" w:rsidRDefault="00921D6E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4.775.460</w:t>
            </w:r>
          </w:p>
        </w:tc>
      </w:tr>
      <w:tr w:rsidR="00CC4845" w:rsidRPr="0025530A" w:rsidTr="0025530A">
        <w:trPr>
          <w:cnfStyle w:val="000000100000"/>
        </w:trPr>
        <w:tc>
          <w:tcPr>
            <w:cnfStyle w:val="001000000000"/>
            <w:tcW w:w="22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7D35EE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Rashodi</w:t>
            </w:r>
            <w:r w:rsidRPr="0025530A">
              <w:rPr>
                <w:rFonts w:asciiTheme="minorHAnsi" w:eastAsiaTheme="minorEastAsia" w:hAnsiTheme="minorHAnsi"/>
              </w:rPr>
              <w:t xml:space="preserve"> poslovanja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4.794.461</w:t>
            </w:r>
          </w:p>
        </w:tc>
        <w:tc>
          <w:tcPr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4B1AA6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4.776.766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FA026B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4.531.019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35EE" w:rsidRPr="0025530A" w:rsidRDefault="00FA026B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4.</w:t>
            </w:r>
            <w:r w:rsidR="008D543C" w:rsidRPr="0025530A">
              <w:rPr>
                <w:rFonts w:asciiTheme="minorHAnsi" w:eastAsiaTheme="minorEastAsia" w:hAnsiTheme="minorHAnsi"/>
              </w:rPr>
              <w:t>715.162</w:t>
            </w:r>
          </w:p>
        </w:tc>
      </w:tr>
      <w:tr w:rsidR="00CC4845" w:rsidRPr="0025530A" w:rsidTr="0025530A">
        <w:tc>
          <w:tcPr>
            <w:cnfStyle w:val="001000000000"/>
            <w:tcW w:w="22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7D35EE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Rashodi</w:t>
            </w:r>
            <w:r w:rsidRPr="0025530A">
              <w:rPr>
                <w:rFonts w:asciiTheme="minorHAnsi" w:eastAsiaTheme="minorEastAsia" w:hAnsiTheme="minorHAnsi"/>
              </w:rPr>
              <w:t xml:space="preserve"> za nabavu nefinancijske imovine</w:t>
            </w:r>
          </w:p>
        </w:tc>
        <w:tc>
          <w:tcPr>
            <w:tcW w:w="728" w:type="pct"/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6.270</w:t>
            </w:r>
          </w:p>
        </w:tc>
        <w:tc>
          <w:tcPr>
            <w:tcW w:w="695" w:type="pct"/>
            <w:vAlign w:val="center"/>
          </w:tcPr>
          <w:p w:rsidR="007D35EE" w:rsidRPr="0025530A" w:rsidRDefault="004B1AA6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718</w:t>
            </w:r>
          </w:p>
        </w:tc>
        <w:tc>
          <w:tcPr>
            <w:tcW w:w="674" w:type="pct"/>
            <w:vAlign w:val="center"/>
          </w:tcPr>
          <w:p w:rsidR="007D35EE" w:rsidRPr="0025530A" w:rsidRDefault="00FA026B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23.655</w:t>
            </w:r>
          </w:p>
        </w:tc>
        <w:tc>
          <w:tcPr>
            <w:tcW w:w="674" w:type="pct"/>
            <w:vAlign w:val="center"/>
          </w:tcPr>
          <w:p w:rsidR="007D35EE" w:rsidRPr="0025530A" w:rsidRDefault="00FA026B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101.616</w:t>
            </w:r>
          </w:p>
        </w:tc>
      </w:tr>
      <w:tr w:rsidR="00CC4845" w:rsidRPr="0025530A" w:rsidTr="0025530A">
        <w:trPr>
          <w:cnfStyle w:val="000000100000"/>
        </w:trPr>
        <w:tc>
          <w:tcPr>
            <w:cnfStyle w:val="001000000000"/>
            <w:tcW w:w="22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7D35EE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Izdaci od financijske imovine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-</w:t>
            </w:r>
          </w:p>
        </w:tc>
        <w:tc>
          <w:tcPr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4B1AA6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FA026B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35EE" w:rsidRPr="0025530A" w:rsidRDefault="00FA026B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-</w:t>
            </w:r>
          </w:p>
        </w:tc>
      </w:tr>
      <w:tr w:rsidR="00CC4845" w:rsidRPr="0025530A" w:rsidTr="0025530A">
        <w:tc>
          <w:tcPr>
            <w:cnfStyle w:val="001000000000"/>
            <w:tcW w:w="22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7D35EE" w:rsidP="0025530A">
            <w:pPr>
              <w:spacing w:after="120"/>
              <w:jc w:val="center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Ukupni rashodi i izdaci</w:t>
            </w:r>
          </w:p>
        </w:tc>
        <w:tc>
          <w:tcPr>
            <w:tcW w:w="728" w:type="pct"/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4.800.731</w:t>
            </w:r>
          </w:p>
        </w:tc>
        <w:tc>
          <w:tcPr>
            <w:tcW w:w="695" w:type="pct"/>
            <w:vAlign w:val="center"/>
          </w:tcPr>
          <w:p w:rsidR="007D35EE" w:rsidRPr="0025530A" w:rsidRDefault="004B1AA6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4.767.784</w:t>
            </w:r>
          </w:p>
        </w:tc>
        <w:tc>
          <w:tcPr>
            <w:tcW w:w="674" w:type="pct"/>
            <w:vAlign w:val="center"/>
          </w:tcPr>
          <w:p w:rsidR="007D35EE" w:rsidRPr="0025530A" w:rsidRDefault="00166A92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4.554.674</w:t>
            </w:r>
          </w:p>
        </w:tc>
        <w:tc>
          <w:tcPr>
            <w:tcW w:w="674" w:type="pct"/>
            <w:vAlign w:val="center"/>
          </w:tcPr>
          <w:p w:rsidR="007D35EE" w:rsidRPr="0025530A" w:rsidRDefault="00166A92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4.</w:t>
            </w:r>
            <w:r w:rsidR="008D543C" w:rsidRPr="0025530A">
              <w:rPr>
                <w:rFonts w:asciiTheme="minorHAnsi" w:eastAsiaTheme="minorEastAsia" w:hAnsiTheme="minorHAnsi"/>
                <w:b/>
              </w:rPr>
              <w:t>816.778</w:t>
            </w:r>
          </w:p>
        </w:tc>
      </w:tr>
      <w:tr w:rsidR="00CC4845" w:rsidRPr="0025530A" w:rsidTr="0025530A">
        <w:trPr>
          <w:cnfStyle w:val="000000100000"/>
        </w:trPr>
        <w:tc>
          <w:tcPr>
            <w:cnfStyle w:val="001000000000"/>
            <w:tcW w:w="22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7D35EE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Višak/Manjak prihoda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1.551</w:t>
            </w:r>
          </w:p>
        </w:tc>
        <w:tc>
          <w:tcPr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1F7EEB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6.049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1F7EEB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-</w:t>
            </w:r>
            <w:r w:rsidR="00CC4845" w:rsidRPr="0025530A">
              <w:rPr>
                <w:rFonts w:asciiTheme="minorHAnsi" w:eastAsiaTheme="minorEastAsia" w:hAnsiTheme="minorHAnsi"/>
              </w:rPr>
              <w:t>70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35EE" w:rsidRPr="0025530A" w:rsidRDefault="008D543C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-41.318</w:t>
            </w:r>
          </w:p>
        </w:tc>
      </w:tr>
      <w:tr w:rsidR="00CC4845" w:rsidRPr="0025530A" w:rsidTr="0025530A">
        <w:tc>
          <w:tcPr>
            <w:cnfStyle w:val="001000000000"/>
            <w:tcW w:w="222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CC4845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Višak/manjak prethodne godine</w:t>
            </w:r>
          </w:p>
        </w:tc>
        <w:tc>
          <w:tcPr>
            <w:tcW w:w="728" w:type="pct"/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14.421</w:t>
            </w:r>
          </w:p>
        </w:tc>
        <w:tc>
          <w:tcPr>
            <w:tcW w:w="695" w:type="pct"/>
            <w:vAlign w:val="center"/>
          </w:tcPr>
          <w:p w:rsidR="007D35EE" w:rsidRPr="0025530A" w:rsidRDefault="001F7EEB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15.972</w:t>
            </w:r>
          </w:p>
        </w:tc>
        <w:tc>
          <w:tcPr>
            <w:tcW w:w="674" w:type="pct"/>
            <w:vAlign w:val="center"/>
          </w:tcPr>
          <w:p w:rsidR="007D35EE" w:rsidRPr="0025530A" w:rsidRDefault="00CC4845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20.508</w:t>
            </w:r>
          </w:p>
        </w:tc>
        <w:tc>
          <w:tcPr>
            <w:tcW w:w="674" w:type="pct"/>
            <w:vAlign w:val="center"/>
          </w:tcPr>
          <w:p w:rsidR="007D35EE" w:rsidRPr="0025530A" w:rsidRDefault="00CC4845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20.438</w:t>
            </w:r>
          </w:p>
        </w:tc>
      </w:tr>
      <w:tr w:rsidR="00CC4845" w:rsidRPr="0025530A" w:rsidTr="0025530A">
        <w:trPr>
          <w:cnfStyle w:val="000000100000"/>
        </w:trPr>
        <w:tc>
          <w:tcPr>
            <w:cnfStyle w:val="001000000000"/>
            <w:tcW w:w="22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7D35EE" w:rsidRPr="0025530A" w:rsidRDefault="00CC4845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Višak/manjak raspoloživ u sljedećem razdoblju</w:t>
            </w: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10070A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15.972</w:t>
            </w:r>
          </w:p>
        </w:tc>
        <w:tc>
          <w:tcPr>
            <w:tcW w:w="6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1F7EEB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22.021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5EE" w:rsidRPr="0025530A" w:rsidRDefault="00CC4845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20.438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35EE" w:rsidRPr="0025530A" w:rsidRDefault="00CC4845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-</w:t>
            </w:r>
            <w:r w:rsidR="008D543C" w:rsidRPr="0025530A">
              <w:rPr>
                <w:rFonts w:asciiTheme="minorHAnsi" w:eastAsiaTheme="minorEastAsia" w:hAnsiTheme="minorHAnsi"/>
              </w:rPr>
              <w:t>20.880</w:t>
            </w:r>
          </w:p>
        </w:tc>
      </w:tr>
    </w:tbl>
    <w:p w:rsidR="003D02DE" w:rsidRDefault="003D02DE" w:rsidP="00051447">
      <w:pPr>
        <w:spacing w:after="120"/>
      </w:pPr>
    </w:p>
    <w:p w:rsidR="008051E4" w:rsidRDefault="001A2527" w:rsidP="00051447">
      <w:pPr>
        <w:spacing w:after="120"/>
      </w:pPr>
      <w:r>
        <w:t>Napomena: Višak iskazan u 2013. godini u iznosu od 22.021 kn i višak iskazan u 2014. godini kao preneseni višak iz 2013. godine razlikuju se za 1.513 kn. Radi se o sredstvima koji je škola dobila u 2013. godini za doprinose za stručna ospo</w:t>
      </w:r>
      <w:r w:rsidR="00183198">
        <w:t>sobljavanja. Isti iznos nije tr</w:t>
      </w:r>
      <w:r>
        <w:t>ebao biti is</w:t>
      </w:r>
      <w:r w:rsidR="00183198">
        <w:t xml:space="preserve">kazan kao Višak 2013. godine već </w:t>
      </w:r>
      <w:r>
        <w:t xml:space="preserve">je iznos trebalo </w:t>
      </w:r>
      <w:r w:rsidR="00183198">
        <w:t xml:space="preserve">iskazati na razgraničenjima </w:t>
      </w:r>
      <w:r>
        <w:t xml:space="preserve"> 292 Unaprijed plaćeni prihodi.</w:t>
      </w:r>
    </w:p>
    <w:p w:rsidR="001A2527" w:rsidRDefault="001A2527" w:rsidP="00051447">
      <w:pPr>
        <w:spacing w:after="120"/>
      </w:pPr>
      <w:r>
        <w:lastRenderedPageBreak/>
        <w:t>Prilikom iskazivanja navedenog iznosa, škola je kontaktirala</w:t>
      </w:r>
      <w:r w:rsidR="00183198">
        <w:t xml:space="preserve"> HZZ i za njih j</w:t>
      </w:r>
      <w:r w:rsidR="00473111">
        <w:t>e to trebao biti iskazan manjak, a u školi višak.</w:t>
      </w:r>
      <w:r w:rsidR="00183198">
        <w:t xml:space="preserve"> Kroz 2014. </w:t>
      </w:r>
      <w:r w:rsidR="0020474C">
        <w:t>navedeno knjiženje je ispravljeno</w:t>
      </w:r>
      <w:r w:rsidR="00473111">
        <w:t xml:space="preserve"> što je rezultiralo razlikom</w:t>
      </w:r>
      <w:r w:rsidR="0020474C">
        <w:t xml:space="preserve"> u iznosu Prenesenog viška 31.12.2013. u odnosu na preneseni Višak </w:t>
      </w:r>
      <w:r w:rsidR="00473111">
        <w:t>iskazan 1.1.2014 u Bilanci u iznosu 1.513 kn.</w:t>
      </w:r>
    </w:p>
    <w:p w:rsidR="0025530A" w:rsidRDefault="0025530A" w:rsidP="0025530A">
      <w:pPr>
        <w:spacing w:after="120"/>
      </w:pPr>
    </w:p>
    <w:p w:rsidR="008051E4" w:rsidRDefault="008051E4" w:rsidP="0025530A">
      <w:pPr>
        <w:spacing w:after="120"/>
        <w:rPr>
          <w:b/>
        </w:rPr>
      </w:pPr>
      <w:r w:rsidRPr="005C7A75">
        <w:rPr>
          <w:b/>
        </w:rPr>
        <w:t>Bilješke uz izvještaj o obvezama – Obrazac Obveze</w:t>
      </w:r>
    </w:p>
    <w:p w:rsidR="003D4AEC" w:rsidRDefault="003D4AEC" w:rsidP="00051447">
      <w:pPr>
        <w:spacing w:after="120"/>
        <w:jc w:val="center"/>
        <w:rPr>
          <w:b/>
        </w:rPr>
      </w:pPr>
    </w:p>
    <w:p w:rsidR="003D4AEC" w:rsidRPr="003D4AEC" w:rsidRDefault="003D4AEC" w:rsidP="00051447">
      <w:pPr>
        <w:spacing w:after="120"/>
        <w:rPr>
          <w:b/>
        </w:rPr>
      </w:pPr>
      <w:r w:rsidRPr="003D4AEC">
        <w:rPr>
          <w:rFonts w:eastAsiaTheme="minorEastAsia"/>
          <w:b/>
        </w:rPr>
        <w:t>Stanje nedospjelih obveza na kraju izvještajnog razdoblja (AOP 098/101)</w:t>
      </w:r>
    </w:p>
    <w:tbl>
      <w:tblPr>
        <w:tblStyle w:val="Srednjipopis2-Isticanje1"/>
        <w:tblW w:w="4866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563"/>
        <w:gridCol w:w="3755"/>
        <w:gridCol w:w="1027"/>
        <w:gridCol w:w="2694"/>
      </w:tblGrid>
      <w:tr w:rsidR="00FB074D" w:rsidRPr="0025530A" w:rsidTr="0025530A">
        <w:trPr>
          <w:cnfStyle w:val="100000000000"/>
          <w:trHeight w:val="1331"/>
        </w:trPr>
        <w:tc>
          <w:tcPr>
            <w:cnfStyle w:val="001000000100"/>
            <w:tcW w:w="8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25530A" w:rsidRDefault="00FB074D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 iz</w:t>
            </w:r>
          </w:p>
          <w:p w:rsidR="00FB074D" w:rsidRPr="0025530A" w:rsidRDefault="00FB074D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FB074D" w:rsidRPr="0025530A" w:rsidRDefault="00FB074D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2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Stanje nedospjelih obveza na kraju izvještajnog razdoblja (AOP 098/101)</w:t>
            </w:r>
          </w:p>
        </w:tc>
        <w:tc>
          <w:tcPr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AOP</w:t>
            </w:r>
          </w:p>
          <w:p w:rsidR="00FB074D" w:rsidRPr="0025530A" w:rsidRDefault="00FB074D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097</w:t>
            </w:r>
          </w:p>
        </w:tc>
        <w:tc>
          <w:tcPr>
            <w:tcW w:w="14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25530A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Stanje 31. prosinca 2015.</w:t>
            </w:r>
          </w:p>
        </w:tc>
      </w:tr>
      <w:tr w:rsidR="00FB074D" w:rsidRPr="0025530A" w:rsidTr="0025530A">
        <w:trPr>
          <w:cnfStyle w:val="000000100000"/>
          <w:trHeight w:val="457"/>
        </w:trPr>
        <w:tc>
          <w:tcPr>
            <w:cnfStyle w:val="001000000000"/>
            <w:tcW w:w="8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25530A" w:rsidRDefault="00FB074D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2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49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</w:tr>
      <w:tr w:rsidR="00FB074D" w:rsidRPr="0025530A" w:rsidTr="0025530A">
        <w:trPr>
          <w:trHeight w:val="457"/>
        </w:trPr>
        <w:tc>
          <w:tcPr>
            <w:cnfStyle w:val="001000000000"/>
            <w:tcW w:w="8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25530A" w:rsidRDefault="00FB074D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239</w:t>
            </w:r>
          </w:p>
        </w:tc>
        <w:tc>
          <w:tcPr>
            <w:tcW w:w="2077" w:type="pct"/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Međusobne  obveze proračunskih korisnika</w:t>
            </w:r>
          </w:p>
        </w:tc>
        <w:tc>
          <w:tcPr>
            <w:tcW w:w="568" w:type="pct"/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098</w:t>
            </w:r>
          </w:p>
          <w:p w:rsidR="00FB074D" w:rsidRPr="0025530A" w:rsidRDefault="00FB074D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</w:p>
        </w:tc>
        <w:tc>
          <w:tcPr>
            <w:tcW w:w="1490" w:type="pct"/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5.329</w:t>
            </w:r>
          </w:p>
        </w:tc>
      </w:tr>
      <w:tr w:rsidR="00FB074D" w:rsidRPr="0025530A" w:rsidTr="0025530A">
        <w:trPr>
          <w:cnfStyle w:val="000000100000"/>
          <w:trHeight w:val="457"/>
        </w:trPr>
        <w:tc>
          <w:tcPr>
            <w:cnfStyle w:val="001000000000"/>
            <w:tcW w:w="8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25530A" w:rsidRDefault="00FB074D" w:rsidP="0025530A">
            <w:pPr>
              <w:spacing w:after="12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23</w:t>
            </w:r>
            <w:r w:rsidR="00DE765D" w:rsidRPr="0025530A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  <w:tc>
          <w:tcPr>
            <w:tcW w:w="2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 xml:space="preserve">Obveze za </w:t>
            </w:r>
            <w:r w:rsidR="00DE765D" w:rsidRPr="0025530A">
              <w:rPr>
                <w:rFonts w:asciiTheme="minorHAnsi" w:eastAsiaTheme="minorEastAsia" w:hAnsiTheme="minorHAnsi" w:cstheme="minorBidi"/>
                <w:color w:val="auto"/>
              </w:rPr>
              <w:t>zaposlene</w:t>
            </w:r>
          </w:p>
        </w:tc>
        <w:tc>
          <w:tcPr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25530A" w:rsidRDefault="00FB074D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099</w:t>
            </w:r>
          </w:p>
        </w:tc>
        <w:tc>
          <w:tcPr>
            <w:tcW w:w="149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074D" w:rsidRPr="0025530A" w:rsidRDefault="00DE765D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25530A">
              <w:rPr>
                <w:rFonts w:asciiTheme="minorHAnsi" w:eastAsiaTheme="minorEastAsia" w:hAnsiTheme="minorHAnsi" w:cstheme="minorBidi"/>
                <w:color w:val="auto"/>
              </w:rPr>
              <w:t>346.647</w:t>
            </w:r>
          </w:p>
        </w:tc>
      </w:tr>
      <w:tr w:rsidR="00DE765D" w:rsidRPr="0025530A" w:rsidTr="0025530A">
        <w:trPr>
          <w:trHeight w:val="457"/>
        </w:trPr>
        <w:tc>
          <w:tcPr>
            <w:cnfStyle w:val="001000000000"/>
            <w:tcW w:w="8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DE765D" w:rsidRPr="0025530A" w:rsidRDefault="00DE765D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232</w:t>
            </w:r>
          </w:p>
        </w:tc>
        <w:tc>
          <w:tcPr>
            <w:tcW w:w="2077" w:type="pct"/>
            <w:vAlign w:val="center"/>
          </w:tcPr>
          <w:p w:rsidR="00DE765D" w:rsidRPr="0025530A" w:rsidRDefault="00DE765D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Obveze za rashode poslovanja</w:t>
            </w:r>
          </w:p>
        </w:tc>
        <w:tc>
          <w:tcPr>
            <w:tcW w:w="568" w:type="pct"/>
            <w:vAlign w:val="center"/>
          </w:tcPr>
          <w:p w:rsidR="00DE765D" w:rsidRPr="0025530A" w:rsidRDefault="00DE765D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099</w:t>
            </w:r>
          </w:p>
        </w:tc>
        <w:tc>
          <w:tcPr>
            <w:tcW w:w="1490" w:type="pct"/>
            <w:vAlign w:val="center"/>
          </w:tcPr>
          <w:p w:rsidR="00DE765D" w:rsidRPr="0025530A" w:rsidRDefault="00DE765D" w:rsidP="0025530A">
            <w:pPr>
              <w:spacing w:after="120"/>
              <w:jc w:val="center"/>
              <w:cnfStyle w:val="000000000000"/>
              <w:rPr>
                <w:rFonts w:asciiTheme="minorHAnsi" w:eastAsiaTheme="minorEastAsia" w:hAnsiTheme="minorHAnsi"/>
              </w:rPr>
            </w:pPr>
            <w:r w:rsidRPr="0025530A">
              <w:rPr>
                <w:rFonts w:asciiTheme="minorHAnsi" w:eastAsiaTheme="minorEastAsia" w:hAnsiTheme="minorHAnsi"/>
              </w:rPr>
              <w:t>50.114</w:t>
            </w:r>
          </w:p>
        </w:tc>
      </w:tr>
      <w:tr w:rsidR="005C7A75" w:rsidRPr="0025530A" w:rsidTr="0025530A">
        <w:trPr>
          <w:cnfStyle w:val="000000100000"/>
          <w:trHeight w:val="457"/>
        </w:trPr>
        <w:tc>
          <w:tcPr>
            <w:cnfStyle w:val="001000000000"/>
            <w:tcW w:w="8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C7A75" w:rsidRPr="0025530A" w:rsidRDefault="005C7A75" w:rsidP="0025530A">
            <w:pPr>
              <w:spacing w:after="12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7A75" w:rsidRPr="0025530A" w:rsidRDefault="005C7A75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Ukupno nedospjele obveze na dan 31.12.2015</w:t>
            </w:r>
          </w:p>
        </w:tc>
        <w:tc>
          <w:tcPr>
            <w:tcW w:w="5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7A75" w:rsidRPr="0025530A" w:rsidRDefault="005C7A75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49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C7A75" w:rsidRPr="0025530A" w:rsidRDefault="005C7A75" w:rsidP="0025530A">
            <w:pPr>
              <w:spacing w:after="120"/>
              <w:jc w:val="center"/>
              <w:cnfStyle w:val="000000100000"/>
              <w:rPr>
                <w:rFonts w:asciiTheme="minorHAnsi" w:eastAsiaTheme="minorEastAsia" w:hAnsiTheme="minorHAnsi"/>
                <w:b/>
              </w:rPr>
            </w:pPr>
            <w:r w:rsidRPr="0025530A">
              <w:rPr>
                <w:rFonts w:asciiTheme="minorHAnsi" w:eastAsiaTheme="minorEastAsia" w:hAnsiTheme="minorHAnsi"/>
                <w:b/>
              </w:rPr>
              <w:t>402.090</w:t>
            </w:r>
          </w:p>
        </w:tc>
      </w:tr>
    </w:tbl>
    <w:p w:rsidR="009D3448" w:rsidRDefault="00561FA1" w:rsidP="00051447">
      <w:pPr>
        <w:spacing w:after="120"/>
      </w:pPr>
      <w:r>
        <w:t>Stanje nedospjelih međusobnih ob</w:t>
      </w:r>
      <w:r w:rsidR="00FB074D">
        <w:t>veza (239) odnosi se na bolovanje preko 42 dana-na teret HZZO-a) u iznosu od 5.329 kn.</w:t>
      </w:r>
    </w:p>
    <w:p w:rsidR="00DE765D" w:rsidRDefault="00DE765D" w:rsidP="00051447">
      <w:pPr>
        <w:spacing w:after="120"/>
      </w:pPr>
      <w:r>
        <w:t>Stanje nedospjelih obveza (231)</w:t>
      </w:r>
      <w:r w:rsidR="003D268A">
        <w:t xml:space="preserve"> u iznosu 346.647 kn</w:t>
      </w:r>
      <w:r>
        <w:t xml:space="preserve"> odnosi se na plaću 12/2015., materijalna prava 11. i 12./2015. isplaćene u siječnju 2016.</w:t>
      </w:r>
      <w:r w:rsidR="005D7C5B">
        <w:t xml:space="preserve"> i naknada za prijevoz zaposlenika 12/2015 9.614</w:t>
      </w:r>
    </w:p>
    <w:p w:rsidR="00DE765D" w:rsidRDefault="00DE765D" w:rsidP="00051447">
      <w:pPr>
        <w:spacing w:after="120"/>
      </w:pPr>
      <w:r>
        <w:t>Stanje nedospjelih obveza (232)</w:t>
      </w:r>
      <w:r w:rsidR="003D268A">
        <w:t xml:space="preserve"> 50.114 kn</w:t>
      </w:r>
      <w:r>
        <w:t xml:space="preserve"> odnosi se materijalne rashode s dospijećem do kraja siječnja 2016. godine</w:t>
      </w:r>
      <w:r w:rsidR="003D268A">
        <w:t>. Od toga 909 kn je naknada za invalide 12/2015 isplaćene u siječnju 2016., Obveze za naknade osobama izvan radnog odnosa</w:t>
      </w:r>
      <w:r w:rsidR="005D7C5B">
        <w:t xml:space="preserve"> 12/2015.</w:t>
      </w:r>
      <w:r w:rsidR="003D268A">
        <w:t xml:space="preserve"> ( volonteri) 1.974 kn,  Intelektualna usluga za pomoćnika u nastavi </w:t>
      </w:r>
      <w:r w:rsidR="005D7C5B">
        <w:t xml:space="preserve"> 12/2015.</w:t>
      </w:r>
      <w:r w:rsidR="003D268A">
        <w:t>3.371 kn i osta</w:t>
      </w:r>
      <w:r w:rsidR="005D7C5B">
        <w:t>lo su materijalni rashodi 34.246</w:t>
      </w:r>
      <w:r w:rsidR="003D268A">
        <w:t xml:space="preserve"> kn</w:t>
      </w:r>
      <w:r w:rsidR="005D7C5B">
        <w:t xml:space="preserve"> i naknada za prijevoz zaposlenika 12/2015 9.614</w:t>
      </w:r>
      <w:r w:rsidR="00F25B95">
        <w:t xml:space="preserve"> kn.</w:t>
      </w:r>
    </w:p>
    <w:p w:rsidR="00FB074D" w:rsidRDefault="00FB074D" w:rsidP="00051447">
      <w:pPr>
        <w:spacing w:after="120"/>
      </w:pPr>
    </w:p>
    <w:p w:rsidR="00561FA1" w:rsidRDefault="001D2802" w:rsidP="00051447">
      <w:pPr>
        <w:spacing w:after="120"/>
      </w:pPr>
      <w:r>
        <w:t xml:space="preserve">Računovođa škole:   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1D2802" w:rsidRDefault="001D2802" w:rsidP="00051447">
      <w:pPr>
        <w:spacing w:after="120"/>
      </w:pPr>
      <w:r>
        <w:t xml:space="preserve">Vesna </w:t>
      </w:r>
      <w:proofErr w:type="spellStart"/>
      <w:r>
        <w:t>Ivković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Tomislav Budimir</w:t>
      </w:r>
    </w:p>
    <w:p w:rsidR="003D02DE" w:rsidRDefault="003D02DE" w:rsidP="00051447">
      <w:pPr>
        <w:spacing w:after="120"/>
        <w:ind w:left="3540" w:firstLine="708"/>
      </w:pPr>
    </w:p>
    <w:p w:rsidR="003D02DE" w:rsidRDefault="003D02DE" w:rsidP="00051447">
      <w:pPr>
        <w:spacing w:after="120"/>
        <w:ind w:left="3540" w:firstLine="708"/>
      </w:pPr>
    </w:p>
    <w:p w:rsidR="009D3448" w:rsidRDefault="009D3448" w:rsidP="00051447">
      <w:pPr>
        <w:spacing w:after="120"/>
        <w:ind w:left="3540" w:firstLine="708"/>
      </w:pPr>
    </w:p>
    <w:p w:rsidR="009D3448" w:rsidRDefault="009D3448" w:rsidP="00051447">
      <w:pPr>
        <w:spacing w:after="120"/>
        <w:ind w:left="3540" w:firstLine="708"/>
      </w:pPr>
    </w:p>
    <w:p w:rsidR="009D3448" w:rsidRDefault="009D3448" w:rsidP="00051447">
      <w:pPr>
        <w:spacing w:after="120"/>
      </w:pPr>
    </w:p>
    <w:p w:rsidR="009D3448" w:rsidRDefault="009D3448" w:rsidP="00051447">
      <w:pPr>
        <w:spacing w:after="120"/>
      </w:pPr>
    </w:p>
    <w:sectPr w:rsidR="009D3448" w:rsidSect="00B34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55" w:rsidRDefault="006B0B55" w:rsidP="009C1741">
      <w:pPr>
        <w:spacing w:after="0" w:line="240" w:lineRule="auto"/>
      </w:pPr>
      <w:r>
        <w:separator/>
      </w:r>
    </w:p>
  </w:endnote>
  <w:endnote w:type="continuationSeparator" w:id="0">
    <w:p w:rsidR="006B0B55" w:rsidRDefault="006B0B55" w:rsidP="009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41" w:rsidRDefault="009C174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4078"/>
      <w:docPartObj>
        <w:docPartGallery w:val="Page Numbers (Bottom of Page)"/>
        <w:docPartUnique/>
      </w:docPartObj>
    </w:sdtPr>
    <w:sdtContent>
      <w:p w:rsidR="009C1741" w:rsidRDefault="004A4C7B">
        <w:pPr>
          <w:pStyle w:val="Podnoje"/>
          <w:jc w:val="right"/>
        </w:pPr>
        <w:fldSimple w:instr=" PAGE   \* MERGEFORMAT ">
          <w:r w:rsidR="00C90BDB">
            <w:rPr>
              <w:noProof/>
            </w:rPr>
            <w:t>6</w:t>
          </w:r>
        </w:fldSimple>
      </w:p>
    </w:sdtContent>
  </w:sdt>
  <w:p w:rsidR="009C1741" w:rsidRDefault="009C174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41" w:rsidRDefault="009C174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55" w:rsidRDefault="006B0B55" w:rsidP="009C1741">
      <w:pPr>
        <w:spacing w:after="0" w:line="240" w:lineRule="auto"/>
      </w:pPr>
      <w:r>
        <w:separator/>
      </w:r>
    </w:p>
  </w:footnote>
  <w:footnote w:type="continuationSeparator" w:id="0">
    <w:p w:rsidR="006B0B55" w:rsidRDefault="006B0B55" w:rsidP="009C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41" w:rsidRDefault="009C174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41" w:rsidRDefault="009C174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41" w:rsidRDefault="009C174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48"/>
    <w:rsid w:val="00022AF2"/>
    <w:rsid w:val="00035058"/>
    <w:rsid w:val="00051447"/>
    <w:rsid w:val="0007203D"/>
    <w:rsid w:val="00096A5E"/>
    <w:rsid w:val="000B0DD5"/>
    <w:rsid w:val="000C7085"/>
    <w:rsid w:val="000D1A89"/>
    <w:rsid w:val="000E4AE9"/>
    <w:rsid w:val="0010070A"/>
    <w:rsid w:val="00166A92"/>
    <w:rsid w:val="00183198"/>
    <w:rsid w:val="00192796"/>
    <w:rsid w:val="001A2527"/>
    <w:rsid w:val="001A531E"/>
    <w:rsid w:val="001C0F79"/>
    <w:rsid w:val="001C23D2"/>
    <w:rsid w:val="001D2802"/>
    <w:rsid w:val="001F7DF1"/>
    <w:rsid w:val="001F7EEB"/>
    <w:rsid w:val="00203B43"/>
    <w:rsid w:val="0020474C"/>
    <w:rsid w:val="00246B66"/>
    <w:rsid w:val="0025530A"/>
    <w:rsid w:val="00257DC8"/>
    <w:rsid w:val="00262F43"/>
    <w:rsid w:val="002678D5"/>
    <w:rsid w:val="00273361"/>
    <w:rsid w:val="002A0860"/>
    <w:rsid w:val="00302DAD"/>
    <w:rsid w:val="003341C3"/>
    <w:rsid w:val="003411D6"/>
    <w:rsid w:val="003B3EE0"/>
    <w:rsid w:val="003C1896"/>
    <w:rsid w:val="003D02DE"/>
    <w:rsid w:val="003D268A"/>
    <w:rsid w:val="003D4AEC"/>
    <w:rsid w:val="004329AF"/>
    <w:rsid w:val="004571AA"/>
    <w:rsid w:val="00467469"/>
    <w:rsid w:val="00473111"/>
    <w:rsid w:val="00474739"/>
    <w:rsid w:val="004A4C7B"/>
    <w:rsid w:val="004B1AA6"/>
    <w:rsid w:val="004C3471"/>
    <w:rsid w:val="00504F41"/>
    <w:rsid w:val="00522B4C"/>
    <w:rsid w:val="00525229"/>
    <w:rsid w:val="00542225"/>
    <w:rsid w:val="00561FA1"/>
    <w:rsid w:val="005966D2"/>
    <w:rsid w:val="005A3221"/>
    <w:rsid w:val="005C3A92"/>
    <w:rsid w:val="005C7A75"/>
    <w:rsid w:val="005D57D1"/>
    <w:rsid w:val="005D7C5B"/>
    <w:rsid w:val="00611511"/>
    <w:rsid w:val="0065644C"/>
    <w:rsid w:val="00657628"/>
    <w:rsid w:val="00665BEB"/>
    <w:rsid w:val="0067262E"/>
    <w:rsid w:val="00676596"/>
    <w:rsid w:val="00685FF4"/>
    <w:rsid w:val="006875F2"/>
    <w:rsid w:val="006A75D9"/>
    <w:rsid w:val="006A7DC2"/>
    <w:rsid w:val="006B0B55"/>
    <w:rsid w:val="0075665F"/>
    <w:rsid w:val="007A3D74"/>
    <w:rsid w:val="007D2D4D"/>
    <w:rsid w:val="007D35EE"/>
    <w:rsid w:val="007F1128"/>
    <w:rsid w:val="008051E4"/>
    <w:rsid w:val="00821467"/>
    <w:rsid w:val="0088264A"/>
    <w:rsid w:val="008B2EB1"/>
    <w:rsid w:val="008D543C"/>
    <w:rsid w:val="0090640C"/>
    <w:rsid w:val="00921D6E"/>
    <w:rsid w:val="00922FEE"/>
    <w:rsid w:val="00925F51"/>
    <w:rsid w:val="00972A6E"/>
    <w:rsid w:val="0097791A"/>
    <w:rsid w:val="009821B6"/>
    <w:rsid w:val="009C1741"/>
    <w:rsid w:val="009D3448"/>
    <w:rsid w:val="00A00410"/>
    <w:rsid w:val="00A00C37"/>
    <w:rsid w:val="00A06DFB"/>
    <w:rsid w:val="00A23D9E"/>
    <w:rsid w:val="00A36221"/>
    <w:rsid w:val="00A67292"/>
    <w:rsid w:val="00AC1CAA"/>
    <w:rsid w:val="00AC23C4"/>
    <w:rsid w:val="00AD3307"/>
    <w:rsid w:val="00AD7FE3"/>
    <w:rsid w:val="00B34BA6"/>
    <w:rsid w:val="00B40318"/>
    <w:rsid w:val="00BA3CCB"/>
    <w:rsid w:val="00BC671F"/>
    <w:rsid w:val="00C20BFF"/>
    <w:rsid w:val="00C32AA2"/>
    <w:rsid w:val="00C65D46"/>
    <w:rsid w:val="00C67C73"/>
    <w:rsid w:val="00C822C0"/>
    <w:rsid w:val="00C90BDB"/>
    <w:rsid w:val="00CA1462"/>
    <w:rsid w:val="00CC4845"/>
    <w:rsid w:val="00CC5D8E"/>
    <w:rsid w:val="00CC7CC7"/>
    <w:rsid w:val="00CE186E"/>
    <w:rsid w:val="00D51FE3"/>
    <w:rsid w:val="00D70476"/>
    <w:rsid w:val="00D840DF"/>
    <w:rsid w:val="00DB546F"/>
    <w:rsid w:val="00DC1AEC"/>
    <w:rsid w:val="00DE765D"/>
    <w:rsid w:val="00DF35F8"/>
    <w:rsid w:val="00E159EE"/>
    <w:rsid w:val="00E57D4F"/>
    <w:rsid w:val="00E83922"/>
    <w:rsid w:val="00E95EA7"/>
    <w:rsid w:val="00EA189B"/>
    <w:rsid w:val="00F25B95"/>
    <w:rsid w:val="00F60B52"/>
    <w:rsid w:val="00F6741E"/>
    <w:rsid w:val="00F702C3"/>
    <w:rsid w:val="00FA026B"/>
    <w:rsid w:val="00FA0D2B"/>
    <w:rsid w:val="00FB074D"/>
    <w:rsid w:val="00FB15E1"/>
    <w:rsid w:val="00FB4BDB"/>
    <w:rsid w:val="00FD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EA89-75E7-4EE2-A431-DA0169A5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46</cp:revision>
  <cp:lastPrinted>2016-01-27T11:31:00Z</cp:lastPrinted>
  <dcterms:created xsi:type="dcterms:W3CDTF">2016-01-26T13:25:00Z</dcterms:created>
  <dcterms:modified xsi:type="dcterms:W3CDTF">2016-01-29T07:23:00Z</dcterms:modified>
</cp:coreProperties>
</file>