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REPUBLIKA HRVATSKA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OSNOVNA ŠKOLA IVANA MAŽURANIĆA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OBROVAC SINJSKI 21241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SPLITSKO-DALMATINSKA ŽUPANIJA</w:t>
      </w:r>
    </w:p>
    <w:p w:rsidR="009D3448" w:rsidRPr="001C6C39" w:rsidRDefault="009D3448" w:rsidP="00A67292">
      <w:pPr>
        <w:spacing w:after="0"/>
        <w:rPr>
          <w:rFonts w:ascii="Arial Narrow" w:hAnsi="Arial Narrow"/>
          <w:b/>
        </w:rPr>
      </w:pPr>
      <w:r w:rsidRPr="001C6C39">
        <w:rPr>
          <w:rFonts w:ascii="Arial Narrow" w:hAnsi="Arial Narrow"/>
          <w:b/>
        </w:rPr>
        <w:t>Klasa:</w:t>
      </w:r>
      <w:r w:rsidR="00BE0FBE" w:rsidRPr="001C6C39">
        <w:rPr>
          <w:rFonts w:ascii="Arial Narrow" w:hAnsi="Arial Narrow"/>
          <w:b/>
        </w:rPr>
        <w:t xml:space="preserve"> 400-05/19-01/</w:t>
      </w:r>
      <w:proofErr w:type="spellStart"/>
      <w:r w:rsidR="00BE0FBE" w:rsidRPr="001C6C39">
        <w:rPr>
          <w:rFonts w:ascii="Arial Narrow" w:hAnsi="Arial Narrow"/>
          <w:b/>
        </w:rPr>
        <w:t>01</w:t>
      </w:r>
      <w:proofErr w:type="spellEnd"/>
    </w:p>
    <w:p w:rsidR="009D3448" w:rsidRPr="001C6C39" w:rsidRDefault="009D3448" w:rsidP="00A67292">
      <w:pPr>
        <w:spacing w:after="0"/>
        <w:rPr>
          <w:rFonts w:ascii="Arial Narrow" w:hAnsi="Arial Narrow"/>
          <w:b/>
        </w:rPr>
      </w:pPr>
      <w:proofErr w:type="spellStart"/>
      <w:r w:rsidRPr="001C6C39">
        <w:rPr>
          <w:rFonts w:ascii="Arial Narrow" w:hAnsi="Arial Narrow"/>
          <w:b/>
        </w:rPr>
        <w:t>Urbroj</w:t>
      </w:r>
      <w:proofErr w:type="spellEnd"/>
      <w:r w:rsidRPr="001C6C39">
        <w:rPr>
          <w:rFonts w:ascii="Arial Narrow" w:hAnsi="Arial Narrow"/>
          <w:b/>
        </w:rPr>
        <w:t>:</w:t>
      </w:r>
      <w:r w:rsidR="00BE0FBE" w:rsidRPr="001C6C39">
        <w:rPr>
          <w:rFonts w:ascii="Arial Narrow" w:hAnsi="Arial Narrow"/>
          <w:b/>
        </w:rPr>
        <w:t xml:space="preserve"> 2175-16-03-19-1</w:t>
      </w:r>
      <w:r w:rsidR="005C60E6" w:rsidRPr="001C6C39">
        <w:rPr>
          <w:rFonts w:ascii="Arial Narrow" w:hAnsi="Arial Narrow"/>
          <w:b/>
        </w:rPr>
        <w:t xml:space="preserve"> </w:t>
      </w:r>
    </w:p>
    <w:p w:rsidR="00CB1FC6" w:rsidRPr="003D26CD" w:rsidRDefault="00F645A6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Obrovac Sinjski, 31.01.2020</w:t>
      </w:r>
      <w:r w:rsidR="001A531E" w:rsidRPr="003D26CD">
        <w:rPr>
          <w:rFonts w:ascii="Arial Narrow" w:hAnsi="Arial Narrow"/>
          <w:b/>
        </w:rPr>
        <w:t>.</w:t>
      </w:r>
    </w:p>
    <w:p w:rsidR="001A531E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</w:p>
    <w:p w:rsidR="009D3448" w:rsidRPr="003D26CD" w:rsidRDefault="009D3448" w:rsidP="001A531E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RKP: 12575         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Matični broj: 03067688</w:t>
      </w:r>
    </w:p>
    <w:p w:rsidR="009D3448" w:rsidRPr="003D26CD" w:rsidRDefault="009D3448" w:rsidP="00A67292">
      <w:pPr>
        <w:spacing w:after="0"/>
        <w:ind w:left="424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Djelatnost: 8520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OIB: 67272246049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Razina: 31</w:t>
      </w:r>
    </w:p>
    <w:p w:rsidR="009D3448" w:rsidRPr="003D26CD" w:rsidRDefault="005D57D1" w:rsidP="00A67292">
      <w:pPr>
        <w:spacing w:after="0"/>
        <w:ind w:left="1416" w:firstLine="708"/>
        <w:jc w:val="center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IBAN: HR</w:t>
      </w:r>
      <w:r w:rsidR="00CC624C" w:rsidRPr="003D26CD">
        <w:rPr>
          <w:rFonts w:ascii="Arial Narrow" w:hAnsi="Arial Narrow"/>
          <w:b/>
        </w:rPr>
        <w:t>4324070001100577478</w:t>
      </w:r>
    </w:p>
    <w:p w:rsidR="0025530A" w:rsidRPr="003D26CD" w:rsidRDefault="0025530A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9D3448" w:rsidRPr="003D26CD" w:rsidRDefault="009D3448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3D26CD">
        <w:rPr>
          <w:rFonts w:ascii="Arial Narrow" w:hAnsi="Arial Narrow"/>
          <w:b/>
          <w:sz w:val="28"/>
          <w:szCs w:val="28"/>
        </w:rPr>
        <w:t>BILJEŠKE</w:t>
      </w:r>
    </w:p>
    <w:p w:rsidR="005D57D1" w:rsidRPr="003D26CD" w:rsidRDefault="009D3448" w:rsidP="00051447">
      <w:pPr>
        <w:spacing w:after="120"/>
        <w:jc w:val="center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za razdoblje od 1.siječ</w:t>
      </w:r>
      <w:r w:rsidR="00F645A6" w:rsidRPr="003D26CD">
        <w:rPr>
          <w:rFonts w:ascii="Arial Narrow" w:hAnsi="Arial Narrow"/>
          <w:b/>
        </w:rPr>
        <w:t>nja do 31. prosinca 2019</w:t>
      </w:r>
      <w:r w:rsidR="005D57D1" w:rsidRPr="003D26CD">
        <w:rPr>
          <w:rFonts w:ascii="Arial Narrow" w:hAnsi="Arial Narrow"/>
          <w:b/>
        </w:rPr>
        <w:t>. godine</w:t>
      </w:r>
    </w:p>
    <w:p w:rsidR="005D57D1" w:rsidRPr="003D26CD" w:rsidRDefault="005D57D1" w:rsidP="00051447">
      <w:pPr>
        <w:spacing w:after="120"/>
        <w:jc w:val="center"/>
        <w:rPr>
          <w:rFonts w:ascii="Arial Narrow" w:hAnsi="Arial Narrow"/>
          <w:b/>
        </w:rPr>
      </w:pPr>
    </w:p>
    <w:p w:rsidR="00CA1462" w:rsidRPr="003D26CD" w:rsidRDefault="006B611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Sukladno članku 13</w:t>
      </w:r>
      <w:r w:rsidR="005D57D1" w:rsidRPr="003D26CD">
        <w:rPr>
          <w:rFonts w:ascii="Arial Narrow" w:hAnsi="Arial Narrow"/>
        </w:rPr>
        <w:t>. Pravilnika o financijskom izvještavanju u proračunskom računovodstvu ( NN br. 3/15., 93/15.,135/15.</w:t>
      </w:r>
      <w:r w:rsidR="009A7002" w:rsidRPr="003D26CD">
        <w:rPr>
          <w:rFonts w:ascii="Arial Narrow" w:hAnsi="Arial Narrow"/>
        </w:rPr>
        <w:t>, 2/17. i 28/17.</w:t>
      </w:r>
      <w:r w:rsidR="00C11DC5" w:rsidRPr="003D26CD">
        <w:rPr>
          <w:rFonts w:ascii="Arial Narrow" w:hAnsi="Arial Narrow"/>
        </w:rPr>
        <w:t>, 112/18.</w:t>
      </w:r>
      <w:r w:rsidR="00082CB6" w:rsidRPr="003D26CD">
        <w:rPr>
          <w:rFonts w:ascii="Arial Narrow" w:hAnsi="Arial Narrow"/>
        </w:rPr>
        <w:t>)</w:t>
      </w:r>
      <w:r w:rsidR="005D57D1" w:rsidRPr="003D26CD">
        <w:rPr>
          <w:rFonts w:ascii="Arial Narrow" w:hAnsi="Arial Narrow"/>
        </w:rPr>
        <w:t xml:space="preserve"> Bilješke su sastavni dio financijskog izvještaja proračuna i proračunskih korisnika.</w:t>
      </w:r>
    </w:p>
    <w:p w:rsidR="00E95EA7" w:rsidRPr="003D26CD" w:rsidRDefault="009821B6" w:rsidP="00051447">
      <w:pPr>
        <w:spacing w:after="120"/>
        <w:jc w:val="center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Bilješke uz Bilancu</w:t>
      </w:r>
      <w:r w:rsidR="00273361" w:rsidRPr="003D26CD">
        <w:rPr>
          <w:rFonts w:ascii="Arial Narrow" w:hAnsi="Arial Narrow"/>
          <w:b/>
        </w:rPr>
        <w:t>- Obrazac BIL</w:t>
      </w:r>
    </w:p>
    <w:p w:rsidR="00FA0D2B" w:rsidRPr="003D26CD" w:rsidRDefault="005D57D1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Bilješka uz AOP 002-Nefinancijska imovina</w:t>
      </w:r>
    </w:p>
    <w:tbl>
      <w:tblPr>
        <w:tblStyle w:val="Srednjipopis2-Isticanje1"/>
        <w:tblW w:w="5095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59"/>
        <w:gridCol w:w="3044"/>
        <w:gridCol w:w="615"/>
        <w:gridCol w:w="1410"/>
        <w:gridCol w:w="1418"/>
        <w:gridCol w:w="1418"/>
      </w:tblGrid>
      <w:tr w:rsidR="00522B4C" w:rsidRPr="003D26CD" w:rsidTr="00E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</w:t>
            </w:r>
            <w:r w:rsidR="003341C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n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iz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B776AB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2019</w:t>
            </w:r>
            <w:r w:rsidR="00522B4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0D5F2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Stanje 31. </w:t>
            </w:r>
            <w:r w:rsidR="00B776AB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prosinca 2019</w:t>
            </w:r>
            <w:r w:rsidR="000D5F2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A06DFB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6DFB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1608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proofErr w:type="spellStart"/>
            <w:r w:rsidRPr="003D26CD">
              <w:rPr>
                <w:rFonts w:ascii="Arial Narrow" w:eastAsiaTheme="minorEastAsia" w:hAnsi="Arial Narrow"/>
                <w:b/>
              </w:rPr>
              <w:t>Neproizvedena</w:t>
            </w:r>
            <w:proofErr w:type="spellEnd"/>
            <w:r w:rsidRPr="003D26CD">
              <w:rPr>
                <w:rFonts w:ascii="Arial Narrow" w:eastAsiaTheme="minorEastAsia" w:hAnsi="Arial Narrow"/>
                <w:b/>
              </w:rPr>
              <w:t xml:space="preserve"> dugotrajna imovina</w:t>
            </w:r>
          </w:p>
        </w:tc>
        <w:tc>
          <w:tcPr>
            <w:tcW w:w="325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003</w:t>
            </w:r>
          </w:p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745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6.770</w:t>
            </w:r>
          </w:p>
        </w:tc>
        <w:tc>
          <w:tcPr>
            <w:tcW w:w="749" w:type="pct"/>
            <w:vAlign w:val="center"/>
          </w:tcPr>
          <w:p w:rsidR="00A06DFB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6.770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A06DFB" w:rsidRPr="003D26CD" w:rsidRDefault="00A648C7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Materijalna prirodna bogatstva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004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6.770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648C7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6.770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021 i 02921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Građevinski objekti</w:t>
            </w:r>
          </w:p>
        </w:tc>
        <w:tc>
          <w:tcPr>
            <w:tcW w:w="32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008</w:t>
            </w:r>
          </w:p>
        </w:tc>
        <w:tc>
          <w:tcPr>
            <w:tcW w:w="745" w:type="pct"/>
            <w:vAlign w:val="center"/>
          </w:tcPr>
          <w:p w:rsidR="00522B4C" w:rsidRPr="003D26CD" w:rsidRDefault="00981EAD" w:rsidP="00192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5.755.951</w:t>
            </w:r>
          </w:p>
        </w:tc>
        <w:tc>
          <w:tcPr>
            <w:tcW w:w="749" w:type="pct"/>
            <w:vAlign w:val="center"/>
          </w:tcPr>
          <w:p w:rsidR="00522B4C" w:rsidRPr="003D26CD" w:rsidRDefault="00981EAD" w:rsidP="00192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5.648.832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CA424D" w:rsidP="00D072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98,1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Poslovni objekti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010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19216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8.724.813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8.724.813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0214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Ostali </w:t>
            </w:r>
            <w:r w:rsidR="00AD3307" w:rsidRPr="003D26CD">
              <w:rPr>
                <w:rFonts w:ascii="Arial Narrow" w:eastAsiaTheme="minorEastAsia" w:hAnsi="Arial Narrow" w:cstheme="minorBidi"/>
                <w:color w:val="auto"/>
              </w:rPr>
              <w:t>građevinski obje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kti</w:t>
            </w:r>
          </w:p>
        </w:tc>
        <w:tc>
          <w:tcPr>
            <w:tcW w:w="32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012</w:t>
            </w:r>
          </w:p>
        </w:tc>
        <w:tc>
          <w:tcPr>
            <w:tcW w:w="74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58.376</w:t>
            </w:r>
          </w:p>
        </w:tc>
        <w:tc>
          <w:tcPr>
            <w:tcW w:w="749" w:type="pct"/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58.376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02921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građevinskih objekata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981EAD" w:rsidP="00192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3.027.238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CA424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3.134.357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103,5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E159EE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022/02922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608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Postrojenja i oprema</w:t>
            </w:r>
          </w:p>
        </w:tc>
        <w:tc>
          <w:tcPr>
            <w:tcW w:w="325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014</w:t>
            </w:r>
          </w:p>
        </w:tc>
        <w:tc>
          <w:tcPr>
            <w:tcW w:w="745" w:type="pct"/>
            <w:vAlign w:val="center"/>
          </w:tcPr>
          <w:p w:rsidR="00522B4C" w:rsidRPr="003D26CD" w:rsidRDefault="00981EAD" w:rsidP="007F4D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85.711</w:t>
            </w:r>
          </w:p>
        </w:tc>
        <w:tc>
          <w:tcPr>
            <w:tcW w:w="749" w:type="pct"/>
            <w:vAlign w:val="center"/>
          </w:tcPr>
          <w:p w:rsidR="00522B4C" w:rsidRPr="003D26CD" w:rsidRDefault="00981EA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51.898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2B4C" w:rsidRPr="003D26CD" w:rsidRDefault="00981EA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60,5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Uredska oprema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015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324.714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324.714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981EAD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lastRenderedPageBreak/>
              <w:t>0222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Komunikacijska oprema</w:t>
            </w:r>
          </w:p>
        </w:tc>
        <w:tc>
          <w:tcPr>
            <w:tcW w:w="32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016</w:t>
            </w:r>
          </w:p>
        </w:tc>
        <w:tc>
          <w:tcPr>
            <w:tcW w:w="745" w:type="pct"/>
            <w:vAlign w:val="center"/>
          </w:tcPr>
          <w:p w:rsidR="00E159EE" w:rsidRPr="003D26CD" w:rsidRDefault="00E36A85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80.421</w:t>
            </w:r>
          </w:p>
        </w:tc>
        <w:tc>
          <w:tcPr>
            <w:tcW w:w="749" w:type="pct"/>
            <w:vAlign w:val="center"/>
          </w:tcPr>
          <w:p w:rsidR="00E159EE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80.421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0223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Oprema za održavanje i zaštitu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017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F42FFF" w:rsidP="00E36A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474.186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474.186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0225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Instrumenti, uređaji i strojevi</w:t>
            </w:r>
          </w:p>
        </w:tc>
        <w:tc>
          <w:tcPr>
            <w:tcW w:w="32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019</w:t>
            </w:r>
          </w:p>
        </w:tc>
        <w:tc>
          <w:tcPr>
            <w:tcW w:w="74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6.292</w:t>
            </w:r>
          </w:p>
        </w:tc>
        <w:tc>
          <w:tcPr>
            <w:tcW w:w="749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6.292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0226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Sportska i glazbene oprema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020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E36A8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197.801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19</w:t>
            </w:r>
            <w:r w:rsidR="00AC7808" w:rsidRPr="003D26CD">
              <w:rPr>
                <w:rFonts w:ascii="Arial Narrow" w:eastAsiaTheme="minorEastAsia" w:hAnsi="Arial Narrow"/>
              </w:rPr>
              <w:t>7.801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0227</w:t>
            </w:r>
          </w:p>
        </w:tc>
        <w:tc>
          <w:tcPr>
            <w:tcW w:w="1608" w:type="pct"/>
            <w:vAlign w:val="center"/>
          </w:tcPr>
          <w:p w:rsidR="00E159EE" w:rsidRPr="003D26CD" w:rsidRDefault="00AD330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Uređa</w:t>
            </w:r>
            <w:r w:rsidR="00685FF4" w:rsidRPr="003D26CD">
              <w:rPr>
                <w:rFonts w:ascii="Arial Narrow" w:eastAsiaTheme="minorEastAsia" w:hAnsi="Arial Narrow"/>
              </w:rPr>
              <w:t>ji, strojevi i opreme za ostale namjene</w:t>
            </w:r>
          </w:p>
        </w:tc>
        <w:tc>
          <w:tcPr>
            <w:tcW w:w="325" w:type="pct"/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021</w:t>
            </w:r>
          </w:p>
        </w:tc>
        <w:tc>
          <w:tcPr>
            <w:tcW w:w="745" w:type="pct"/>
            <w:vAlign w:val="center"/>
          </w:tcPr>
          <w:p w:rsidR="00E159EE" w:rsidRPr="003D26CD" w:rsidRDefault="00E36A8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273.865</w:t>
            </w:r>
          </w:p>
        </w:tc>
        <w:tc>
          <w:tcPr>
            <w:tcW w:w="749" w:type="pct"/>
            <w:vAlign w:val="center"/>
          </w:tcPr>
          <w:p w:rsidR="00E159EE" w:rsidRPr="003D26CD" w:rsidRDefault="00AC780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273.865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02922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opreme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F42FFF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1.</w:t>
            </w:r>
            <w:r w:rsidR="00981EAD" w:rsidRPr="003D26CD">
              <w:rPr>
                <w:rFonts w:ascii="Arial Narrow" w:eastAsiaTheme="minorEastAsia" w:hAnsi="Arial Narrow"/>
              </w:rPr>
              <w:t>271.568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1.305.381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981EAD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102,7</w:t>
            </w:r>
          </w:p>
        </w:tc>
      </w:tr>
      <w:tr w:rsidR="004A365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Knjige, umjetnička djela i ostale izložbene vrijednosti</w:t>
            </w:r>
          </w:p>
        </w:tc>
        <w:tc>
          <w:tcPr>
            <w:tcW w:w="325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030</w:t>
            </w:r>
          </w:p>
        </w:tc>
        <w:tc>
          <w:tcPr>
            <w:tcW w:w="745" w:type="pct"/>
            <w:vAlign w:val="center"/>
          </w:tcPr>
          <w:p w:rsidR="004A3651" w:rsidRPr="003D26CD" w:rsidRDefault="004A3651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322.124</w:t>
            </w:r>
          </w:p>
        </w:tc>
        <w:tc>
          <w:tcPr>
            <w:tcW w:w="749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4B197E" w:rsidP="004B197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</w:p>
        </w:tc>
      </w:tr>
      <w:tr w:rsidR="004A365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0241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Knjige</w:t>
            </w:r>
          </w:p>
        </w:tc>
        <w:tc>
          <w:tcPr>
            <w:tcW w:w="325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030</w:t>
            </w:r>
          </w:p>
        </w:tc>
        <w:tc>
          <w:tcPr>
            <w:tcW w:w="745" w:type="pct"/>
            <w:vAlign w:val="center"/>
          </w:tcPr>
          <w:p w:rsidR="004A3651" w:rsidRPr="003D26CD" w:rsidRDefault="00FB5378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322.124</w:t>
            </w:r>
          </w:p>
        </w:tc>
        <w:tc>
          <w:tcPr>
            <w:tcW w:w="749" w:type="pct"/>
            <w:vAlign w:val="center"/>
          </w:tcPr>
          <w:p w:rsidR="004A3651" w:rsidRPr="003D26CD" w:rsidRDefault="00FB53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276.471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FB5378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85.8</w:t>
            </w:r>
          </w:p>
        </w:tc>
      </w:tr>
      <w:tr w:rsidR="004A365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knjiga, umjetničkih djela i ostalih izložbenih vrijednosti</w:t>
            </w:r>
          </w:p>
        </w:tc>
        <w:tc>
          <w:tcPr>
            <w:tcW w:w="325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031</w:t>
            </w:r>
          </w:p>
        </w:tc>
        <w:tc>
          <w:tcPr>
            <w:tcW w:w="745" w:type="pct"/>
            <w:vAlign w:val="center"/>
          </w:tcPr>
          <w:p w:rsidR="004A3651" w:rsidRPr="003D26CD" w:rsidRDefault="00FB5378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0,00</w:t>
            </w:r>
          </w:p>
        </w:tc>
        <w:tc>
          <w:tcPr>
            <w:tcW w:w="749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276.471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4B197E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  <w:tr w:rsidR="00DF442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026</w:t>
            </w:r>
          </w:p>
        </w:tc>
        <w:tc>
          <w:tcPr>
            <w:tcW w:w="1608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DF442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Nematerijalna proizvedena imovina</w:t>
            </w:r>
          </w:p>
        </w:tc>
        <w:tc>
          <w:tcPr>
            <w:tcW w:w="32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A37AB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040</w:t>
            </w:r>
          </w:p>
        </w:tc>
        <w:tc>
          <w:tcPr>
            <w:tcW w:w="74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BE27D5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48.825</w:t>
            </w:r>
          </w:p>
        </w:tc>
        <w:tc>
          <w:tcPr>
            <w:tcW w:w="749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BE27D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28.936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CA424D" w:rsidP="00E830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67,6</w:t>
            </w:r>
          </w:p>
        </w:tc>
      </w:tr>
      <w:tr w:rsidR="00DF442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0264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8306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Ostala nematerijalna proizvedena imovina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A37AB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044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FA0D09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55.556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8306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55.556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FA0D09" w:rsidP="00E830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100,00</w:t>
            </w:r>
          </w:p>
        </w:tc>
      </w:tr>
      <w:tr w:rsidR="005C7C32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5C7C32" w:rsidRPr="003D26CD" w:rsidRDefault="005C7C3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nematerijalne imovine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045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BE27D5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12.731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BE27D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26.620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CA424D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209,1</w:t>
            </w:r>
          </w:p>
        </w:tc>
      </w:tr>
      <w:tr w:rsidR="00B802E8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3D26CD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Zalihe sitnog inventar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049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141.909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9642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170.435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96424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120,1</w:t>
            </w:r>
          </w:p>
        </w:tc>
      </w:tr>
      <w:tr w:rsidR="00B802E8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3D26CD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049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050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141.909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9642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170.435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96424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120,1</w:t>
            </w:r>
          </w:p>
        </w:tc>
      </w:tr>
      <w:tr w:rsidR="00F67195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Dugotrajna nefinancijska imovina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2.460.380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  <w:tr w:rsidR="00F67195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Građevinski objekti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2.460.380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</w:tbl>
    <w:p w:rsidR="00E424CE" w:rsidRPr="003D26CD" w:rsidRDefault="00AD3307" w:rsidP="00E424CE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>Iz horizontalne analize, uspoređujući podatke o tende</w:t>
      </w:r>
      <w:r w:rsidR="00203B43" w:rsidRPr="003D26CD">
        <w:rPr>
          <w:rFonts w:ascii="Arial Narrow" w:hAnsi="Arial Narrow"/>
          <w:b w:val="0"/>
        </w:rPr>
        <w:t>n</w:t>
      </w:r>
      <w:r w:rsidRPr="003D26CD">
        <w:rPr>
          <w:rFonts w:ascii="Arial Narrow" w:hAnsi="Arial Narrow"/>
          <w:b w:val="0"/>
        </w:rPr>
        <w:t>ciji i dinamici promjena pojedinih odjeljaka</w:t>
      </w:r>
      <w:r w:rsidR="005966D2" w:rsidRPr="003D26CD">
        <w:rPr>
          <w:rFonts w:ascii="Arial Narrow" w:hAnsi="Arial Narrow"/>
          <w:b w:val="0"/>
        </w:rPr>
        <w:t xml:space="preserve"> građevinskih objekata te </w:t>
      </w:r>
      <w:r w:rsidRPr="003D26CD">
        <w:rPr>
          <w:rFonts w:ascii="Arial Narrow" w:hAnsi="Arial Narrow"/>
          <w:b w:val="0"/>
        </w:rPr>
        <w:t>postrojenja i opreme</w:t>
      </w:r>
      <w:r w:rsidR="003844CB" w:rsidRPr="003D26CD">
        <w:rPr>
          <w:rFonts w:ascii="Arial Narrow" w:hAnsi="Arial Narrow"/>
          <w:b w:val="0"/>
        </w:rPr>
        <w:t xml:space="preserve"> na početku i na kraju 2019</w:t>
      </w:r>
      <w:r w:rsidR="00031366" w:rsidRPr="003D26CD">
        <w:rPr>
          <w:rFonts w:ascii="Arial Narrow" w:hAnsi="Arial Narrow"/>
          <w:b w:val="0"/>
        </w:rPr>
        <w:t>.</w:t>
      </w:r>
      <w:r w:rsidRPr="003D26CD">
        <w:rPr>
          <w:rFonts w:ascii="Arial Narrow" w:hAnsi="Arial Narrow"/>
          <w:b w:val="0"/>
        </w:rPr>
        <w:t>godine, slij</w:t>
      </w:r>
      <w:r w:rsidR="00311AAA" w:rsidRPr="003D26CD">
        <w:rPr>
          <w:rFonts w:ascii="Arial Narrow" w:hAnsi="Arial Narrow"/>
          <w:b w:val="0"/>
        </w:rPr>
        <w:t>ed</w:t>
      </w:r>
      <w:r w:rsidR="00FB5378" w:rsidRPr="003D26CD">
        <w:rPr>
          <w:rFonts w:ascii="Arial Narrow" w:hAnsi="Arial Narrow"/>
          <w:b w:val="0"/>
        </w:rPr>
        <w:t>i zaključak da je tijekom 2019</w:t>
      </w:r>
      <w:r w:rsidRPr="003D26CD">
        <w:rPr>
          <w:rFonts w:ascii="Arial Narrow" w:hAnsi="Arial Narrow"/>
          <w:b w:val="0"/>
        </w:rPr>
        <w:t xml:space="preserve">. godine </w:t>
      </w:r>
      <w:r w:rsidR="003844CB" w:rsidRPr="003D26CD">
        <w:rPr>
          <w:rFonts w:ascii="Arial Narrow" w:hAnsi="Arial Narrow"/>
          <w:b w:val="0"/>
        </w:rPr>
        <w:t>smanjena</w:t>
      </w:r>
      <w:r w:rsidR="005C7C32" w:rsidRPr="003D26CD">
        <w:rPr>
          <w:rFonts w:ascii="Arial Narrow" w:hAnsi="Arial Narrow"/>
          <w:b w:val="0"/>
        </w:rPr>
        <w:t xml:space="preserve"> vrijednost imo</w:t>
      </w:r>
      <w:r w:rsidR="00FA0D09" w:rsidRPr="003D26CD">
        <w:rPr>
          <w:rFonts w:ascii="Arial Narrow" w:hAnsi="Arial Narrow"/>
          <w:b w:val="0"/>
        </w:rPr>
        <w:t xml:space="preserve">vine od </w:t>
      </w:r>
      <w:r w:rsidR="00226A4A" w:rsidRPr="003D26CD">
        <w:rPr>
          <w:rFonts w:ascii="Arial Narrow" w:hAnsi="Arial Narrow"/>
          <w:b w:val="0"/>
        </w:rPr>
        <w:t>1,9</w:t>
      </w:r>
      <w:r w:rsidR="003844CB" w:rsidRPr="003D26CD">
        <w:rPr>
          <w:rFonts w:ascii="Arial Narrow" w:hAnsi="Arial Narrow"/>
          <w:b w:val="0"/>
        </w:rPr>
        <w:t xml:space="preserve"> </w:t>
      </w:r>
      <w:r w:rsidR="00FE4703" w:rsidRPr="003D26CD">
        <w:rPr>
          <w:rFonts w:ascii="Arial Narrow" w:hAnsi="Arial Narrow"/>
          <w:b w:val="0"/>
        </w:rPr>
        <w:t xml:space="preserve">% do </w:t>
      </w:r>
      <w:r w:rsidR="00226A4A" w:rsidRPr="003D26CD">
        <w:rPr>
          <w:rFonts w:ascii="Arial Narrow" w:hAnsi="Arial Narrow"/>
          <w:b w:val="0"/>
        </w:rPr>
        <w:t>39,5</w:t>
      </w:r>
      <w:r w:rsidRPr="003D26CD">
        <w:rPr>
          <w:rFonts w:ascii="Arial Narrow" w:hAnsi="Arial Narrow"/>
          <w:b w:val="0"/>
        </w:rPr>
        <w:t xml:space="preserve">%,. </w:t>
      </w:r>
      <w:r w:rsidR="00226A4A" w:rsidRPr="003D26CD">
        <w:rPr>
          <w:rFonts w:ascii="Arial Narrow" w:hAnsi="Arial Narrow"/>
          <w:b w:val="0"/>
        </w:rPr>
        <w:t xml:space="preserve"> uslijed ispravka vrijednosti</w:t>
      </w:r>
      <w:r w:rsidR="00457EDF" w:rsidRPr="003D26CD">
        <w:rPr>
          <w:rFonts w:ascii="Arial Narrow" w:hAnsi="Arial Narrow"/>
          <w:b w:val="0"/>
        </w:rPr>
        <w:t xml:space="preserve"> </w:t>
      </w:r>
      <w:r w:rsidRPr="003D26CD">
        <w:rPr>
          <w:rFonts w:ascii="Arial Narrow" w:hAnsi="Arial Narrow"/>
          <w:b w:val="0"/>
        </w:rPr>
        <w:t>Pod</w:t>
      </w:r>
      <w:r w:rsidR="00226A4A" w:rsidRPr="003D26CD">
        <w:rPr>
          <w:rFonts w:ascii="Arial Narrow" w:hAnsi="Arial Narrow"/>
          <w:b w:val="0"/>
        </w:rPr>
        <w:t>atak o ispravku vrijednosti</w:t>
      </w:r>
      <w:r w:rsidR="00BC671F" w:rsidRPr="003D26CD">
        <w:rPr>
          <w:rFonts w:ascii="Arial Narrow" w:hAnsi="Arial Narrow"/>
          <w:b w:val="0"/>
        </w:rPr>
        <w:t xml:space="preserve"> ima tende</w:t>
      </w:r>
      <w:r w:rsidR="00203B43" w:rsidRPr="003D26CD">
        <w:rPr>
          <w:rFonts w:ascii="Arial Narrow" w:hAnsi="Arial Narrow"/>
          <w:b w:val="0"/>
        </w:rPr>
        <w:t>n</w:t>
      </w:r>
      <w:r w:rsidR="00457EDF" w:rsidRPr="003D26CD">
        <w:rPr>
          <w:rFonts w:ascii="Arial Narrow" w:hAnsi="Arial Narrow"/>
          <w:b w:val="0"/>
        </w:rPr>
        <w:t>ciju povećanja od 2,</w:t>
      </w:r>
      <w:r w:rsidR="00226A4A" w:rsidRPr="003D26CD">
        <w:rPr>
          <w:rFonts w:ascii="Arial Narrow" w:hAnsi="Arial Narrow"/>
          <w:b w:val="0"/>
        </w:rPr>
        <w:t>7% do 3,5</w:t>
      </w:r>
      <w:r w:rsidRPr="003D26CD">
        <w:rPr>
          <w:rFonts w:ascii="Arial Narrow" w:hAnsi="Arial Narrow"/>
          <w:b w:val="0"/>
        </w:rPr>
        <w:t>% u odnos</w:t>
      </w:r>
      <w:r w:rsidR="00226A4A" w:rsidRPr="003D26CD">
        <w:rPr>
          <w:rFonts w:ascii="Arial Narrow" w:hAnsi="Arial Narrow"/>
          <w:b w:val="0"/>
        </w:rPr>
        <w:t>u na početak godine</w:t>
      </w:r>
      <w:r w:rsidR="006808FC" w:rsidRPr="003D26CD">
        <w:rPr>
          <w:rFonts w:ascii="Arial Narrow" w:hAnsi="Arial Narrow"/>
          <w:b w:val="0"/>
        </w:rPr>
        <w:t>.</w:t>
      </w:r>
    </w:p>
    <w:p w:rsidR="00457EDF" w:rsidRDefault="00457EDF" w:rsidP="00457EDF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Na temelju točke 4. Odluke o popisu imovine o osnivanju povjerenstva (Klasa : 406-08/19/01, </w:t>
      </w:r>
      <w:proofErr w:type="spellStart"/>
      <w:r w:rsidRPr="003D26CD">
        <w:rPr>
          <w:rFonts w:ascii="Arial Narrow" w:hAnsi="Arial Narrow"/>
        </w:rPr>
        <w:t>UrBroj</w:t>
      </w:r>
      <w:proofErr w:type="spellEnd"/>
      <w:r w:rsidRPr="003D26CD">
        <w:rPr>
          <w:rFonts w:ascii="Arial Narrow" w:hAnsi="Arial Narrow"/>
        </w:rPr>
        <w:t>: 2175-16-01-19-01) Povjerenstvo  zaduženo za popis imovine  donijelo je Izvješće i Prijedlog za rashodovanje udžbenika i radnih bilježnica koje je Općina otok financirala za učenike PŠ Gala u razdoblju od 2014-2017. godine.  (Klasa: 406-08/20-01/</w:t>
      </w:r>
      <w:proofErr w:type="spellStart"/>
      <w:r w:rsidRPr="003D26CD">
        <w:rPr>
          <w:rFonts w:ascii="Arial Narrow" w:hAnsi="Arial Narrow"/>
        </w:rPr>
        <w:t>01</w:t>
      </w:r>
      <w:proofErr w:type="spellEnd"/>
      <w:r w:rsidRPr="003D26CD">
        <w:rPr>
          <w:rFonts w:ascii="Arial Narrow" w:hAnsi="Arial Narrow"/>
        </w:rPr>
        <w:t xml:space="preserve">, </w:t>
      </w:r>
      <w:proofErr w:type="spellStart"/>
      <w:r w:rsidRPr="003D26CD">
        <w:rPr>
          <w:rFonts w:ascii="Arial Narrow" w:hAnsi="Arial Narrow"/>
        </w:rPr>
        <w:t>UrBroj</w:t>
      </w:r>
      <w:proofErr w:type="spellEnd"/>
      <w:r w:rsidRPr="003D26CD">
        <w:rPr>
          <w:rFonts w:ascii="Arial Narrow" w:hAnsi="Arial Narrow"/>
        </w:rPr>
        <w:t>: 2175-16-01-20-01), a isti su bili evidentirani na imovini ( Knjige – 24211) u iznosu 119.673,32 kn. Udžbenici i radne bilježnice su zastarjele i nisu u upotrebi. Na osnovu Prijedloga Povjerenstva, ravnatelj škole donio je Odluku o rashodovanju udžbenika i radnih bilježnica i nalog</w:t>
      </w:r>
      <w:r w:rsidR="00DD2C8D">
        <w:rPr>
          <w:rFonts w:ascii="Arial Narrow" w:hAnsi="Arial Narrow"/>
        </w:rPr>
        <w:t xml:space="preserve"> računovodstvu da iste </w:t>
      </w:r>
      <w:proofErr w:type="spellStart"/>
      <w:r w:rsidR="00DD2C8D">
        <w:rPr>
          <w:rFonts w:ascii="Arial Narrow" w:hAnsi="Arial Narrow"/>
        </w:rPr>
        <w:t>isknjiže</w:t>
      </w:r>
      <w:proofErr w:type="spellEnd"/>
      <w:r w:rsidR="00DD2C8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iz poslovnih knjiga (Klasa: 406-08/20-01/02, </w:t>
      </w:r>
      <w:proofErr w:type="spellStart"/>
      <w:r w:rsidRPr="003D26CD">
        <w:rPr>
          <w:rFonts w:ascii="Arial Narrow" w:hAnsi="Arial Narrow"/>
        </w:rPr>
        <w:t>UrBroj</w:t>
      </w:r>
      <w:proofErr w:type="spellEnd"/>
      <w:r w:rsidRPr="003D26CD">
        <w:rPr>
          <w:rFonts w:ascii="Arial Narrow" w:hAnsi="Arial Narrow"/>
        </w:rPr>
        <w:t>: 2175-16-01-20-01). Napravljen je ispravak vrijednosti knjiga koje su u  upotrebi.</w:t>
      </w:r>
    </w:p>
    <w:p w:rsidR="00B96424" w:rsidRPr="003D26CD" w:rsidRDefault="00B96424" w:rsidP="00457EDF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Nabavljeno je sitnog inventara u vrijednosti  28.526 kn.</w:t>
      </w:r>
    </w:p>
    <w:p w:rsidR="004B197E" w:rsidRPr="003D26CD" w:rsidRDefault="00457EDF" w:rsidP="001F6F4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U 2019. godini krenuli su i radovi na energetsko</w:t>
      </w:r>
      <w:r w:rsidR="00B96424">
        <w:rPr>
          <w:rFonts w:ascii="Arial Narrow" w:hAnsi="Arial Narrow"/>
        </w:rPr>
        <w:t>j učinkovitosti Škole te je pove</w:t>
      </w:r>
      <w:r w:rsidRPr="003D26CD">
        <w:rPr>
          <w:rFonts w:ascii="Arial Narrow" w:hAnsi="Arial Narrow"/>
        </w:rPr>
        <w:t>ćana vrijednost na građevinskim objektim</w:t>
      </w:r>
      <w:r w:rsidR="001F6F4B">
        <w:rPr>
          <w:rFonts w:ascii="Arial Narrow" w:hAnsi="Arial Narrow"/>
        </w:rPr>
        <w:t>a u pripremi – dodatna ulaganja</w:t>
      </w:r>
    </w:p>
    <w:p w:rsidR="004B197E" w:rsidRPr="003D26CD" w:rsidRDefault="004B197E" w:rsidP="00E424CE">
      <w:pPr>
        <w:pStyle w:val="Tijeloteksta"/>
        <w:jc w:val="left"/>
        <w:rPr>
          <w:rFonts w:ascii="Arial Narrow" w:hAnsi="Arial Narrow"/>
        </w:rPr>
      </w:pPr>
    </w:p>
    <w:p w:rsidR="00E95EA7" w:rsidRPr="003D26CD" w:rsidRDefault="00EA189B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</w:t>
      </w:r>
      <w:r w:rsidR="00F702C3" w:rsidRPr="003D26CD">
        <w:rPr>
          <w:rFonts w:ascii="Arial Narrow" w:hAnsi="Arial Narrow"/>
          <w:b/>
        </w:rPr>
        <w:t>ka uz AOP-064- Novac u banci i b</w:t>
      </w:r>
      <w:r w:rsidRPr="003D26CD">
        <w:rPr>
          <w:rFonts w:ascii="Arial Narrow" w:hAnsi="Arial Narrow"/>
          <w:b/>
        </w:rPr>
        <w:t>lagajni</w:t>
      </w:r>
    </w:p>
    <w:tbl>
      <w:tblPr>
        <w:tblStyle w:val="Srednjipopis2-Isticanj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922FEE" w:rsidRPr="003D26CD" w:rsidTr="00A6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086D7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1.1.2019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086D7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31.12.2019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EA189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EA189B" w:rsidRPr="003D26CD" w:rsidTr="00A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1171" w:type="pct"/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Novac u banci i blagajni</w:t>
            </w:r>
          </w:p>
        </w:tc>
        <w:tc>
          <w:tcPr>
            <w:tcW w:w="325" w:type="pct"/>
            <w:vAlign w:val="center"/>
          </w:tcPr>
          <w:p w:rsidR="00EA189B" w:rsidRPr="003D26CD" w:rsidRDefault="000716C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064</w:t>
            </w:r>
          </w:p>
        </w:tc>
        <w:tc>
          <w:tcPr>
            <w:tcW w:w="749" w:type="pct"/>
            <w:vAlign w:val="center"/>
          </w:tcPr>
          <w:p w:rsidR="00EA189B" w:rsidRPr="003D26CD" w:rsidRDefault="004B197E" w:rsidP="0052387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80.543</w:t>
            </w:r>
          </w:p>
        </w:tc>
        <w:tc>
          <w:tcPr>
            <w:tcW w:w="750" w:type="pct"/>
            <w:vAlign w:val="center"/>
          </w:tcPr>
          <w:p w:rsidR="00EA189B" w:rsidRPr="003D26CD" w:rsidRDefault="004B197E" w:rsidP="00FF77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91.958</w:t>
            </w:r>
          </w:p>
        </w:tc>
        <w:tc>
          <w:tcPr>
            <w:tcW w:w="683" w:type="pct"/>
            <w:vAlign w:val="center"/>
          </w:tcPr>
          <w:p w:rsidR="00EA189B" w:rsidRPr="003D26CD" w:rsidRDefault="00CA424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114,</w:t>
            </w:r>
            <w:r w:rsidR="004B197E" w:rsidRPr="003D26CD">
              <w:rPr>
                <w:rFonts w:ascii="Arial Narrow" w:eastAsiaTheme="minorEastAsia" w:hAnsi="Arial Narrow" w:cstheme="minorBidi"/>
                <w:b/>
                <w:color w:val="auto"/>
              </w:rPr>
              <w:t>2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1112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Žiro račun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0716C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067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4B197E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80.116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91.652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CA424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114,</w:t>
            </w:r>
            <w:r w:rsidR="004B197E"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</w:tr>
      <w:tr w:rsidR="00EA189B" w:rsidRPr="003D26CD" w:rsidTr="00A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1114</w:t>
            </w:r>
          </w:p>
        </w:tc>
        <w:tc>
          <w:tcPr>
            <w:tcW w:w="1171" w:type="pct"/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Prijelazni račun</w:t>
            </w:r>
          </w:p>
        </w:tc>
        <w:tc>
          <w:tcPr>
            <w:tcW w:w="325" w:type="pct"/>
            <w:vAlign w:val="center"/>
          </w:tcPr>
          <w:p w:rsidR="00EA189B" w:rsidRPr="003D26CD" w:rsidRDefault="00F702C3" w:rsidP="00EB0A5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  <w:r w:rsidR="000716C6" w:rsidRPr="003D26CD">
              <w:rPr>
                <w:rFonts w:ascii="Arial Narrow" w:eastAsiaTheme="minorEastAsia" w:hAnsi="Arial Narrow" w:cstheme="minorBidi"/>
                <w:color w:val="auto"/>
              </w:rPr>
              <w:t>68</w:t>
            </w:r>
          </w:p>
        </w:tc>
        <w:tc>
          <w:tcPr>
            <w:tcW w:w="749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750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83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1131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25ED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Blagajna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071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427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306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CA424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71,</w:t>
            </w:r>
            <w:r w:rsidR="004B197E" w:rsidRPr="003D26CD">
              <w:rPr>
                <w:rFonts w:ascii="Arial Narrow" w:eastAsiaTheme="minorEastAsia" w:hAnsi="Arial Narrow" w:cstheme="minorBidi"/>
                <w:color w:val="auto"/>
              </w:rPr>
              <w:t>7</w:t>
            </w:r>
          </w:p>
        </w:tc>
      </w:tr>
    </w:tbl>
    <w:p w:rsidR="00316A8A" w:rsidRPr="00351279" w:rsidRDefault="000D1A89" w:rsidP="00351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26CD">
        <w:rPr>
          <w:rFonts w:ascii="Arial Narrow" w:hAnsi="Arial Narrow"/>
        </w:rPr>
        <w:t>Posljednjeg dana proračunsk</w:t>
      </w:r>
      <w:r w:rsidR="00D0720F" w:rsidRPr="003D26CD">
        <w:rPr>
          <w:rFonts w:ascii="Arial Narrow" w:hAnsi="Arial Narrow"/>
        </w:rPr>
        <w:t xml:space="preserve">e godine Škola raspolaže s </w:t>
      </w:r>
      <w:r w:rsidR="00E16A44" w:rsidRPr="003D26CD">
        <w:rPr>
          <w:rFonts w:ascii="Arial Narrow" w:hAnsi="Arial Narrow"/>
        </w:rPr>
        <w:t>većom</w:t>
      </w:r>
      <w:r w:rsidRPr="003D26CD">
        <w:rPr>
          <w:rFonts w:ascii="Arial Narrow" w:hAnsi="Arial Narrow"/>
        </w:rPr>
        <w:t xml:space="preserve"> količinom novca na žiro rač</w:t>
      </w:r>
      <w:r w:rsidR="00D0720F" w:rsidRPr="003D26CD">
        <w:rPr>
          <w:rFonts w:ascii="Arial Narrow" w:hAnsi="Arial Narrow"/>
        </w:rPr>
        <w:t>unu. Isti je predviđen za zakonska plaćanja ( plaće pomoćnika u nastav</w:t>
      </w:r>
      <w:r w:rsidR="003D26CD">
        <w:rPr>
          <w:rFonts w:ascii="Arial Narrow" w:hAnsi="Arial Narrow"/>
        </w:rPr>
        <w:t xml:space="preserve">i </w:t>
      </w:r>
      <w:r w:rsidR="00E16A44" w:rsidRPr="003D26CD">
        <w:rPr>
          <w:rFonts w:ascii="Arial Narrow" w:hAnsi="Arial Narrow"/>
        </w:rPr>
        <w:t xml:space="preserve"> koji dospijevaju do 15.1.2019</w:t>
      </w:r>
      <w:r w:rsidR="00D0720F" w:rsidRPr="003D26CD">
        <w:rPr>
          <w:rFonts w:ascii="Arial Narrow" w:hAnsi="Arial Narrow"/>
        </w:rPr>
        <w:t>. godine</w:t>
      </w:r>
      <w:r w:rsidR="00E16A44" w:rsidRPr="003D26CD">
        <w:rPr>
          <w:rFonts w:ascii="Arial Narrow" w:hAnsi="Arial Narrow"/>
        </w:rPr>
        <w:t xml:space="preserve"> i ostale materijalne troškove</w:t>
      </w:r>
      <w:r w:rsidR="00D0720F" w:rsidRPr="003D26CD">
        <w:rPr>
          <w:rFonts w:ascii="Arial Narrow" w:hAnsi="Arial Narrow"/>
        </w:rPr>
        <w:t>)</w:t>
      </w:r>
      <w:r w:rsidR="00EB0A57" w:rsidRPr="003D26CD">
        <w:rPr>
          <w:rFonts w:ascii="Arial Narrow" w:hAnsi="Arial Narrow"/>
        </w:rPr>
        <w:t xml:space="preserve"> </w:t>
      </w:r>
      <w:r w:rsidR="003D26CD">
        <w:rPr>
          <w:rFonts w:ascii="Arial Narrow" w:hAnsi="Arial Narrow"/>
        </w:rPr>
        <w:t xml:space="preserve"> Smanjen</w:t>
      </w:r>
      <w:r w:rsidRPr="003D26CD">
        <w:rPr>
          <w:rFonts w:ascii="Arial Narrow" w:hAnsi="Arial Narrow"/>
        </w:rPr>
        <w:t xml:space="preserve"> je saldo novca u blagajni, a gotovina se koristi za hitne i nepredviđene potrebe.</w:t>
      </w:r>
      <w:r w:rsidR="00E16A44" w:rsidRPr="003D26CD">
        <w:rPr>
          <w:rFonts w:ascii="Arial Narrow" w:hAnsi="Arial Narrow"/>
        </w:rPr>
        <w:t xml:space="preserve"> Povećanje novca na žiro računu je posljedica </w:t>
      </w:r>
      <w:r w:rsidR="000A0531" w:rsidRPr="003D26CD">
        <w:rPr>
          <w:rFonts w:ascii="Arial Narrow" w:hAnsi="Arial Narrow"/>
        </w:rPr>
        <w:t>uplate sredstava</w:t>
      </w:r>
      <w:r w:rsidR="003D26CD">
        <w:rPr>
          <w:rFonts w:ascii="Arial Narrow" w:hAnsi="Arial Narrow"/>
        </w:rPr>
        <w:t xml:space="preserve"> od strane MZO  pri kraju kalendarske godine  ista će biti utrošena u 2020. za novonastale troškove ( </w:t>
      </w:r>
      <w:proofErr w:type="spellStart"/>
      <w:r w:rsidR="003D26CD">
        <w:rPr>
          <w:rFonts w:ascii="Arial Narrow" w:hAnsi="Arial Narrow"/>
        </w:rPr>
        <w:t>kurikularna</w:t>
      </w:r>
      <w:proofErr w:type="spellEnd"/>
      <w:r w:rsidR="003D26CD">
        <w:rPr>
          <w:rFonts w:ascii="Arial Narrow" w:hAnsi="Arial Narrow"/>
        </w:rPr>
        <w:t xml:space="preserve"> reforma)  te viškom vlastitih sredstava koje je škola ostvarila iznajmljivanjem školske dvorane,a za koju je dobila i suglasnost Osnivača. </w:t>
      </w:r>
      <w:r w:rsidR="00351279">
        <w:rPr>
          <w:rFonts w:ascii="Arial Narrow" w:hAnsi="Arial Narrow"/>
        </w:rPr>
        <w:t xml:space="preserve">Odlukom o  Izvršenju </w:t>
      </w:r>
      <w:r w:rsidR="00351279" w:rsidRPr="00351279">
        <w:rPr>
          <w:rFonts w:ascii="Arial Narrow" w:hAnsi="Arial Narrow"/>
          <w:sz w:val="20"/>
          <w:szCs w:val="20"/>
        </w:rPr>
        <w:t>proračuna (</w:t>
      </w:r>
      <w:r w:rsidR="00351279" w:rsidRPr="00351279">
        <w:rPr>
          <w:rFonts w:ascii="Arial Narrow" w:hAnsi="Arial Narrow" w:cs="TimesNewRomanPSMT"/>
          <w:sz w:val="20"/>
          <w:szCs w:val="20"/>
        </w:rPr>
        <w:t>KLASA: 021-04/18-02/298</w:t>
      </w:r>
      <w:r w:rsidR="00351279">
        <w:rPr>
          <w:rFonts w:ascii="TimesNewRomanPSMT" w:hAnsi="TimesNewRomanPSMT" w:cs="TimesNewRomanPSMT"/>
          <w:sz w:val="24"/>
          <w:szCs w:val="24"/>
        </w:rPr>
        <w:t xml:space="preserve">; </w:t>
      </w:r>
      <w:r w:rsidR="00351279" w:rsidRPr="00351279">
        <w:rPr>
          <w:rFonts w:ascii="Arial Narrow" w:hAnsi="Arial Narrow" w:cs="TimesNewRomanPSMT"/>
          <w:sz w:val="20"/>
          <w:szCs w:val="20"/>
        </w:rPr>
        <w:t>URBROJ: 2181/1-01-18-1</w:t>
      </w:r>
      <w:r w:rsidR="00351279" w:rsidRPr="00351279">
        <w:rPr>
          <w:rFonts w:ascii="Arial Narrow" w:hAnsi="Arial Narrow"/>
          <w:sz w:val="20"/>
          <w:szCs w:val="20"/>
        </w:rPr>
        <w:t>)</w:t>
      </w:r>
      <w:r w:rsidR="00351279">
        <w:rPr>
          <w:rFonts w:ascii="Arial Narrow" w:hAnsi="Arial Narrow"/>
        </w:rPr>
        <w:t xml:space="preserve"> </w:t>
      </w:r>
      <w:r w:rsidR="003D26CD">
        <w:rPr>
          <w:rFonts w:ascii="Arial Narrow" w:hAnsi="Arial Narrow"/>
        </w:rPr>
        <w:t>Škola je oslobođena uplate istih u Proračun Županije, ostaju na žiro računu Škole.</w:t>
      </w:r>
    </w:p>
    <w:p w:rsidR="00AB26E3" w:rsidRPr="003D26CD" w:rsidRDefault="00AB26E3" w:rsidP="00051447">
      <w:pPr>
        <w:spacing w:after="120"/>
        <w:rPr>
          <w:rFonts w:ascii="Arial Narrow" w:hAnsi="Arial Narrow"/>
          <w:b/>
        </w:rPr>
      </w:pPr>
    </w:p>
    <w:p w:rsidR="003C1896" w:rsidRPr="003D26CD" w:rsidRDefault="003C1896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073- Depoziti, </w:t>
      </w:r>
      <w:proofErr w:type="spellStart"/>
      <w:r w:rsidRPr="003D26CD">
        <w:rPr>
          <w:rFonts w:ascii="Arial Narrow" w:hAnsi="Arial Narrow"/>
          <w:b/>
        </w:rPr>
        <w:t>jamče</w:t>
      </w:r>
      <w:r w:rsidR="006A14C3" w:rsidRPr="003D26CD">
        <w:rPr>
          <w:rFonts w:ascii="Arial Narrow" w:hAnsi="Arial Narrow"/>
          <w:b/>
        </w:rPr>
        <w:t>v</w:t>
      </w:r>
      <w:r w:rsidRPr="003D26CD">
        <w:rPr>
          <w:rFonts w:ascii="Arial Narrow" w:hAnsi="Arial Narrow"/>
          <w:b/>
        </w:rPr>
        <w:t>ni</w:t>
      </w:r>
      <w:proofErr w:type="spellEnd"/>
      <w:r w:rsidRPr="003D26CD">
        <w:rPr>
          <w:rFonts w:ascii="Arial Narrow" w:hAnsi="Arial Narrow"/>
          <w:b/>
        </w:rPr>
        <w:t xml:space="preserve"> </w:t>
      </w:r>
      <w:proofErr w:type="spellStart"/>
      <w:r w:rsidRPr="003D26CD">
        <w:rPr>
          <w:rFonts w:ascii="Arial Narrow" w:hAnsi="Arial Narrow"/>
          <w:b/>
        </w:rPr>
        <w:t>polozi</w:t>
      </w:r>
      <w:proofErr w:type="spellEnd"/>
      <w:r w:rsidRPr="003D26CD">
        <w:rPr>
          <w:rFonts w:ascii="Arial Narrow" w:hAnsi="Arial Narrow"/>
          <w:b/>
        </w:rPr>
        <w:t xml:space="preserve"> i potraživanja od zaposlenih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9"/>
        <w:gridCol w:w="617"/>
        <w:gridCol w:w="1375"/>
        <w:gridCol w:w="1378"/>
        <w:gridCol w:w="1254"/>
      </w:tblGrid>
      <w:tr w:rsidR="00C32AA2" w:rsidRPr="003D26CD" w:rsidTr="003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C32AA2" w:rsidRPr="003D26CD" w:rsidRDefault="00C32AA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086D7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1.1.2019</w:t>
            </w:r>
            <w:r w:rsidR="00F27C2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086D7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31.12.2019</w:t>
            </w:r>
            <w:r w:rsidR="00C32A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BA41C3" w:rsidRPr="003D26CD" w:rsidTr="003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162" w:type="pct"/>
            <w:vAlign w:val="center"/>
          </w:tcPr>
          <w:p w:rsidR="00BA41C3" w:rsidRPr="003D26CD" w:rsidRDefault="00BA41C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</w:t>
            </w:r>
          </w:p>
        </w:tc>
        <w:tc>
          <w:tcPr>
            <w:tcW w:w="332" w:type="pct"/>
            <w:vAlign w:val="center"/>
          </w:tcPr>
          <w:p w:rsidR="00BA41C3" w:rsidRPr="003D26CD" w:rsidRDefault="00BA41C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3</w:t>
            </w:r>
          </w:p>
        </w:tc>
        <w:tc>
          <w:tcPr>
            <w:tcW w:w="740" w:type="pct"/>
            <w:vAlign w:val="center"/>
          </w:tcPr>
          <w:p w:rsidR="00BA41C3" w:rsidRPr="003D26CD" w:rsidRDefault="00BA41C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vAlign w:val="center"/>
          </w:tcPr>
          <w:p w:rsidR="00BA41C3" w:rsidRPr="003D26CD" w:rsidRDefault="00BA41C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</w:t>
            </w:r>
          </w:p>
        </w:tc>
        <w:tc>
          <w:tcPr>
            <w:tcW w:w="675" w:type="pct"/>
            <w:vAlign w:val="center"/>
          </w:tcPr>
          <w:p w:rsidR="00BA41C3" w:rsidRPr="003D26CD" w:rsidRDefault="00BA41C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BA41C3" w:rsidRPr="003D26CD" w:rsidTr="00674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124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više plaćene poreze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079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4B197E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3.527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4B197E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3.648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4B197E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103,5</w:t>
            </w:r>
          </w:p>
        </w:tc>
      </w:tr>
      <w:tr w:rsidR="00C32AA2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Pr="003D26CD" w:rsidRDefault="00BA41C3" w:rsidP="00BA41C3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1162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Ostala potraživanja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080</w:t>
            </w:r>
          </w:p>
        </w:tc>
        <w:tc>
          <w:tcPr>
            <w:tcW w:w="74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9.142</w:t>
            </w:r>
          </w:p>
        </w:tc>
        <w:tc>
          <w:tcPr>
            <w:tcW w:w="74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14.075</w:t>
            </w:r>
          </w:p>
        </w:tc>
        <w:tc>
          <w:tcPr>
            <w:tcW w:w="67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C32AA2" w:rsidRPr="003D26CD" w:rsidRDefault="00141D5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154,0</w:t>
            </w:r>
          </w:p>
        </w:tc>
      </w:tr>
    </w:tbl>
    <w:p w:rsidR="00AC1CAA" w:rsidRPr="003D26CD" w:rsidRDefault="00C32AA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Ostala potraživanja </w:t>
      </w:r>
      <w:r w:rsidR="0025530A" w:rsidRPr="003D26CD">
        <w:rPr>
          <w:rFonts w:ascii="Arial Narrow" w:hAnsi="Arial Narrow"/>
        </w:rPr>
        <w:t>i</w:t>
      </w:r>
      <w:r w:rsidR="003C1896" w:rsidRPr="003D26CD">
        <w:rPr>
          <w:rFonts w:ascii="Arial Narrow" w:hAnsi="Arial Narrow"/>
        </w:rPr>
        <w:t>skazan</w:t>
      </w:r>
      <w:r w:rsidR="00627574" w:rsidRPr="003D26CD">
        <w:rPr>
          <w:rFonts w:ascii="Arial Narrow" w:hAnsi="Arial Narrow"/>
        </w:rPr>
        <w:t xml:space="preserve">a </w:t>
      </w:r>
      <w:r w:rsidR="003C1896" w:rsidRPr="003D26CD">
        <w:rPr>
          <w:rFonts w:ascii="Arial Narrow" w:hAnsi="Arial Narrow"/>
        </w:rPr>
        <w:t xml:space="preserve">su u iznosu </w:t>
      </w:r>
      <w:r w:rsidR="003D26CD">
        <w:rPr>
          <w:rFonts w:ascii="Arial Narrow" w:hAnsi="Arial Narrow"/>
        </w:rPr>
        <w:t>14.075</w:t>
      </w:r>
      <w:r w:rsidR="003C1896" w:rsidRPr="003D26CD">
        <w:rPr>
          <w:rFonts w:ascii="Arial Narrow" w:hAnsi="Arial Narrow"/>
        </w:rPr>
        <w:t xml:space="preserve"> kn, a odnose se na isplaćena bolovanja </w:t>
      </w:r>
      <w:r w:rsidR="00E21A2F" w:rsidRPr="003D26CD">
        <w:rPr>
          <w:rFonts w:ascii="Arial Narrow" w:hAnsi="Arial Narrow"/>
        </w:rPr>
        <w:t xml:space="preserve">preko 42 dana na teret HZZO koja nisu refundirana i </w:t>
      </w:r>
      <w:r w:rsidR="003C1896" w:rsidRPr="003D26CD">
        <w:rPr>
          <w:rFonts w:ascii="Arial Narrow" w:hAnsi="Arial Narrow"/>
        </w:rPr>
        <w:t xml:space="preserve"> za koje su iskazna potraživanja na poziciji 129.</w:t>
      </w:r>
      <w:r w:rsidR="00E21A2F" w:rsidRPr="003D26CD">
        <w:rPr>
          <w:rFonts w:ascii="Arial Narrow" w:hAnsi="Arial Narrow"/>
        </w:rPr>
        <w:t xml:space="preserve"> D</w:t>
      </w:r>
      <w:r w:rsidRPr="003D26CD">
        <w:rPr>
          <w:rFonts w:ascii="Arial Narrow" w:hAnsi="Arial Narrow"/>
        </w:rPr>
        <w:t xml:space="preserve">ošlo je do </w:t>
      </w:r>
      <w:r w:rsidR="00E21A2F" w:rsidRPr="003D26CD">
        <w:rPr>
          <w:rFonts w:ascii="Arial Narrow" w:hAnsi="Arial Narrow"/>
        </w:rPr>
        <w:t xml:space="preserve">povećanja </w:t>
      </w:r>
      <w:r w:rsidRPr="003D26CD">
        <w:rPr>
          <w:rFonts w:ascii="Arial Narrow" w:hAnsi="Arial Narrow"/>
        </w:rPr>
        <w:t xml:space="preserve"> navedenih potraživanja na kraju razdoblja u odno</w:t>
      </w:r>
      <w:r w:rsidR="00E21A2F" w:rsidRPr="003D26CD">
        <w:rPr>
          <w:rFonts w:ascii="Arial Narrow" w:hAnsi="Arial Narrow"/>
        </w:rPr>
        <w:t xml:space="preserve">su na početak razdoblja za </w:t>
      </w:r>
      <w:r w:rsidR="003D26CD">
        <w:rPr>
          <w:rFonts w:ascii="Arial Narrow" w:hAnsi="Arial Narrow"/>
        </w:rPr>
        <w:t xml:space="preserve"> 154,0</w:t>
      </w:r>
      <w:r w:rsidRPr="003D26CD">
        <w:rPr>
          <w:rFonts w:ascii="Arial Narrow" w:hAnsi="Arial Narrow"/>
        </w:rPr>
        <w:t>%</w:t>
      </w:r>
    </w:p>
    <w:p w:rsidR="00BA41C3" w:rsidRPr="003D26CD" w:rsidRDefault="00BA41C3" w:rsidP="00BA41C3">
      <w:pPr>
        <w:tabs>
          <w:tab w:val="left" w:pos="960"/>
        </w:tabs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Potraživanje za</w:t>
      </w:r>
      <w:r w:rsidR="00800CEB" w:rsidRPr="003D26CD">
        <w:rPr>
          <w:rFonts w:ascii="Arial Narrow" w:hAnsi="Arial Narrow"/>
        </w:rPr>
        <w:t xml:space="preserve"> više plaćene poreze iskaz</w:t>
      </w:r>
      <w:r w:rsidR="00E21A2F" w:rsidRPr="003D26CD">
        <w:rPr>
          <w:rFonts w:ascii="Arial Narrow" w:hAnsi="Arial Narrow"/>
        </w:rPr>
        <w:t>a</w:t>
      </w:r>
      <w:r w:rsidR="00800CEB" w:rsidRPr="003D26CD">
        <w:rPr>
          <w:rFonts w:ascii="Arial Narrow" w:hAnsi="Arial Narrow"/>
        </w:rPr>
        <w:t xml:space="preserve">na u </w:t>
      </w:r>
      <w:r w:rsidR="003D26CD">
        <w:rPr>
          <w:rFonts w:ascii="Arial Narrow" w:hAnsi="Arial Narrow"/>
        </w:rPr>
        <w:t xml:space="preserve"> iznosu 3.648 </w:t>
      </w:r>
      <w:r w:rsidRPr="003D26CD">
        <w:rPr>
          <w:rFonts w:ascii="Arial Narrow" w:hAnsi="Arial Narrow"/>
        </w:rPr>
        <w:t>kn, a odnos</w:t>
      </w:r>
      <w:r w:rsidR="00E21A2F" w:rsidRPr="003D26CD">
        <w:rPr>
          <w:rFonts w:ascii="Arial Narrow" w:hAnsi="Arial Narrow"/>
        </w:rPr>
        <w:t>e</w:t>
      </w:r>
      <w:r w:rsidRPr="003D26CD">
        <w:rPr>
          <w:rFonts w:ascii="Arial Narrow" w:hAnsi="Arial Narrow"/>
        </w:rPr>
        <w:t xml:space="preserve"> se na plaćeni porez i prirez po godišnjem obračunu poreza i prireza.</w:t>
      </w:r>
      <w:r w:rsidR="00CF7599" w:rsidRPr="003D26CD">
        <w:rPr>
          <w:rFonts w:ascii="Arial Narrow" w:hAnsi="Arial Narrow"/>
        </w:rPr>
        <w:t xml:space="preserve"> Postotak povećanja potraživanja</w:t>
      </w:r>
      <w:r w:rsidR="003D26CD">
        <w:rPr>
          <w:rFonts w:ascii="Arial Narrow" w:hAnsi="Arial Narrow"/>
        </w:rPr>
        <w:t xml:space="preserve"> za više plaćene poreze iznosi 3,5</w:t>
      </w:r>
      <w:r w:rsidR="00CF7599" w:rsidRPr="003D26CD">
        <w:rPr>
          <w:rFonts w:ascii="Arial Narrow" w:hAnsi="Arial Narrow"/>
        </w:rPr>
        <w:t>%</w:t>
      </w:r>
    </w:p>
    <w:p w:rsidR="00AB26E3" w:rsidRPr="003D26CD" w:rsidRDefault="00AB26E3" w:rsidP="00651039">
      <w:pPr>
        <w:tabs>
          <w:tab w:val="left" w:pos="2550"/>
        </w:tabs>
        <w:spacing w:after="120"/>
        <w:rPr>
          <w:rFonts w:ascii="Arial Narrow" w:hAnsi="Arial Narrow"/>
        </w:rPr>
      </w:pPr>
    </w:p>
    <w:p w:rsidR="008415A5" w:rsidRPr="003D26CD" w:rsidRDefault="008415A5" w:rsidP="008415A5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Bilješka uz AOP</w:t>
      </w:r>
      <w:r w:rsidR="002C76A9" w:rsidRPr="003D26CD">
        <w:rPr>
          <w:rFonts w:ascii="Arial Narrow" w:hAnsi="Arial Narrow"/>
          <w:b/>
        </w:rPr>
        <w:t xml:space="preserve"> 140</w:t>
      </w:r>
      <w:r w:rsidR="00F316E9" w:rsidRPr="003D26CD">
        <w:rPr>
          <w:rFonts w:ascii="Arial Narrow" w:hAnsi="Arial Narrow"/>
          <w:b/>
        </w:rPr>
        <w:t xml:space="preserve"> -</w:t>
      </w:r>
      <w:r w:rsidRPr="003D26CD">
        <w:rPr>
          <w:rFonts w:ascii="Arial Narrow" w:hAnsi="Arial Narrow"/>
          <w:b/>
        </w:rPr>
        <w:t xml:space="preserve">  Potr</w:t>
      </w:r>
      <w:r w:rsidR="00F316E9" w:rsidRPr="003D26CD">
        <w:rPr>
          <w:rFonts w:ascii="Arial Narrow" w:hAnsi="Arial Narrow"/>
          <w:b/>
        </w:rPr>
        <w:t>aživanja za prihode poslovanja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8415A5" w:rsidRPr="003D26CD" w:rsidTr="009E4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415A5" w:rsidRPr="003D26CD" w:rsidRDefault="008415A5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086D73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1.1.2019</w:t>
            </w:r>
            <w:r w:rsidR="008415A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086D73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31.12.2019</w:t>
            </w:r>
            <w:r w:rsidR="008415A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8415A5" w:rsidRPr="003D26CD" w:rsidTr="0023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8415A5" w:rsidRPr="003D26CD" w:rsidRDefault="00237CD4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237CD4" w:rsidRPr="003D26CD" w:rsidTr="0023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37CD4" w:rsidRPr="003D26CD" w:rsidRDefault="00237CD4" w:rsidP="009E446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Potraživanja za prihode poslovanja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1.130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1.532.362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415A5" w:rsidRPr="003D26CD" w:rsidTr="0023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8415A5" w:rsidRPr="003D26CD" w:rsidRDefault="008415A5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163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AB26E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Potraživanja za pomoći iz inozemstva i od subjekata unutar općeg proračuna</w:t>
            </w:r>
            <w:r w:rsidR="008415A5" w:rsidRPr="003D26CD">
              <w:rPr>
                <w:rFonts w:ascii="Arial Narrow" w:eastAsiaTheme="minorEastAsia" w:hAnsi="Arial Narrow" w:cstheme="minorBidi"/>
                <w:color w:val="auto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2C76A9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143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AB26E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AB26E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1.532.212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64227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AB26E3" w:rsidRPr="003D26CD" w:rsidTr="0060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AB26E3" w:rsidRPr="003D26CD" w:rsidRDefault="00FE415E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1636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Potraživanja za pomoći proračunskim korisnicima iz proračuna </w:t>
            </w:r>
            <w:r w:rsidRPr="003D26CD">
              <w:rPr>
                <w:rFonts w:ascii="Arial Narrow" w:hAnsi="Arial Narrow"/>
              </w:rPr>
              <w:lastRenderedPageBreak/>
              <w:t>koji im nije nadležan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lastRenderedPageBreak/>
              <w:t>149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899.272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  <w:tr w:rsidR="00AB26E3" w:rsidRPr="003D26CD" w:rsidTr="00AB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</w:tcPr>
          <w:p w:rsidR="00AB26E3" w:rsidRPr="003D26CD" w:rsidRDefault="00FE415E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lastRenderedPageBreak/>
              <w:t>1638</w:t>
            </w:r>
          </w:p>
        </w:tc>
        <w:tc>
          <w:tcPr>
            <w:tcW w:w="1171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pomoći iz državnog proračuna temeljem prijenosa EU sredstava</w:t>
            </w:r>
          </w:p>
        </w:tc>
        <w:tc>
          <w:tcPr>
            <w:tcW w:w="325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150</w:t>
            </w:r>
          </w:p>
        </w:tc>
        <w:tc>
          <w:tcPr>
            <w:tcW w:w="749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  <w:tc>
          <w:tcPr>
            <w:tcW w:w="750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632.940</w:t>
            </w:r>
          </w:p>
        </w:tc>
        <w:tc>
          <w:tcPr>
            <w:tcW w:w="683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  <w:tr w:rsidR="00F316E9" w:rsidRPr="003D26CD" w:rsidTr="00F31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F316E9" w:rsidRPr="003D26CD" w:rsidRDefault="00F316E9" w:rsidP="009E446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166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3D26CD" w:rsidRDefault="00F316E9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Potraživanje za prihode od prodaje roba i usluga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3D26CD" w:rsidRDefault="00F316E9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153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3D26CD" w:rsidRDefault="00AB26E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1.130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3D26CD" w:rsidRDefault="00AB26E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F316E9" w:rsidRPr="003D26CD" w:rsidRDefault="00AB26E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13,3</w:t>
            </w:r>
          </w:p>
        </w:tc>
      </w:tr>
    </w:tbl>
    <w:p w:rsidR="00F316E9" w:rsidRPr="003D26CD" w:rsidRDefault="0044011C" w:rsidP="00623521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 xml:space="preserve">AOP 143 </w:t>
      </w:r>
      <w:r w:rsidR="00623521">
        <w:rPr>
          <w:rFonts w:ascii="Arial Narrow" w:hAnsi="Arial Narrow"/>
          <w:b w:val="0"/>
        </w:rPr>
        <w:t>Potraživanja za  pomoći iz inozemstva i od subjekata unutar općeg proračuna</w:t>
      </w:r>
      <w:r w:rsidR="00507DEB" w:rsidRPr="003D26CD">
        <w:rPr>
          <w:rFonts w:ascii="Arial Narrow" w:hAnsi="Arial Narrow"/>
          <w:b w:val="0"/>
        </w:rPr>
        <w:t xml:space="preserve"> odnosi se na potraživanje od </w:t>
      </w:r>
      <w:r w:rsidR="00623521">
        <w:rPr>
          <w:rFonts w:ascii="Arial Narrow" w:hAnsi="Arial Narrow"/>
          <w:b w:val="0"/>
        </w:rPr>
        <w:t>MRRIFEU i potraživanja za Bespovratna sredstva od Ministarstva graditeljstva i prostornog uređenja</w:t>
      </w:r>
      <w:r w:rsidR="00507DEB" w:rsidRPr="003D26CD">
        <w:rPr>
          <w:rFonts w:ascii="Arial Narrow" w:hAnsi="Arial Narrow"/>
          <w:b w:val="0"/>
        </w:rPr>
        <w:t xml:space="preserve"> za program </w:t>
      </w:r>
      <w:r w:rsidR="00623521">
        <w:rPr>
          <w:rFonts w:ascii="Arial Narrow" w:hAnsi="Arial Narrow"/>
          <w:b w:val="0"/>
        </w:rPr>
        <w:t>Energetska učinkovitost</w:t>
      </w:r>
      <w:r w:rsidR="00522C10" w:rsidRPr="003D26CD">
        <w:rPr>
          <w:rFonts w:ascii="Arial Narrow" w:hAnsi="Arial Narrow"/>
          <w:b w:val="0"/>
        </w:rPr>
        <w:t>.</w:t>
      </w:r>
      <w:r w:rsidR="007169FB" w:rsidRPr="003D26CD">
        <w:rPr>
          <w:rFonts w:ascii="Arial Narrow" w:hAnsi="Arial Narrow"/>
          <w:b w:val="0"/>
        </w:rPr>
        <w:t xml:space="preserve"> S</w:t>
      </w:r>
      <w:r w:rsidR="00623521">
        <w:rPr>
          <w:rFonts w:ascii="Arial Narrow" w:hAnsi="Arial Narrow"/>
          <w:b w:val="0"/>
        </w:rPr>
        <w:t>redstva će biti doznačena u 2020</w:t>
      </w:r>
      <w:r w:rsidR="007169FB" w:rsidRPr="003D26CD">
        <w:rPr>
          <w:rFonts w:ascii="Arial Narrow" w:hAnsi="Arial Narrow"/>
          <w:b w:val="0"/>
        </w:rPr>
        <w:t>. godini.</w:t>
      </w:r>
      <w:r w:rsidR="00522C10" w:rsidRPr="003D26CD">
        <w:rPr>
          <w:rFonts w:ascii="Arial Narrow" w:hAnsi="Arial Narrow"/>
          <w:b w:val="0"/>
        </w:rPr>
        <w:t xml:space="preserve"> </w:t>
      </w:r>
    </w:p>
    <w:p w:rsidR="004D061E" w:rsidRPr="003D26CD" w:rsidRDefault="0044011C" w:rsidP="00740375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>AOP 153 Isk</w:t>
      </w:r>
      <w:r w:rsidR="00623521">
        <w:rPr>
          <w:rFonts w:ascii="Arial Narrow" w:hAnsi="Arial Narrow"/>
          <w:b w:val="0"/>
        </w:rPr>
        <w:t>azani iznos odnosi se na izlaznu fakturu koja</w:t>
      </w:r>
      <w:r w:rsidRPr="003D26CD">
        <w:rPr>
          <w:rFonts w:ascii="Arial Narrow" w:hAnsi="Arial Narrow"/>
          <w:b w:val="0"/>
        </w:rPr>
        <w:t xml:space="preserve"> će biti naplaćen</w:t>
      </w:r>
      <w:r w:rsidR="00623521">
        <w:rPr>
          <w:rFonts w:ascii="Arial Narrow" w:hAnsi="Arial Narrow"/>
          <w:b w:val="0"/>
        </w:rPr>
        <w:t>e u 2020.</w:t>
      </w:r>
      <w:r w:rsidRPr="003D26CD">
        <w:rPr>
          <w:rFonts w:ascii="Arial Narrow" w:hAnsi="Arial Narrow"/>
          <w:b w:val="0"/>
        </w:rPr>
        <w:t>godini.</w:t>
      </w:r>
      <w:r w:rsidR="00C92AA8">
        <w:rPr>
          <w:rFonts w:ascii="Arial Narrow" w:hAnsi="Arial Narrow"/>
          <w:b w:val="0"/>
        </w:rPr>
        <w:t xml:space="preserve"> Smanjeno je potraživanje za prihod</w:t>
      </w:r>
      <w:r w:rsidR="00CB3184">
        <w:rPr>
          <w:rFonts w:ascii="Arial Narrow" w:hAnsi="Arial Narrow"/>
          <w:b w:val="0"/>
        </w:rPr>
        <w:t xml:space="preserve">e poslovanja od prodaje roba i </w:t>
      </w:r>
      <w:r w:rsidR="00C92AA8">
        <w:rPr>
          <w:rFonts w:ascii="Arial Narrow" w:hAnsi="Arial Narrow"/>
          <w:b w:val="0"/>
        </w:rPr>
        <w:t>u</w:t>
      </w:r>
      <w:r w:rsidR="00CB3184">
        <w:rPr>
          <w:rFonts w:ascii="Arial Narrow" w:hAnsi="Arial Narrow"/>
          <w:b w:val="0"/>
        </w:rPr>
        <w:t>s</w:t>
      </w:r>
      <w:r w:rsidR="00C92AA8">
        <w:rPr>
          <w:rFonts w:ascii="Arial Narrow" w:hAnsi="Arial Narrow"/>
          <w:b w:val="0"/>
        </w:rPr>
        <w:t>luga.</w:t>
      </w:r>
    </w:p>
    <w:p w:rsidR="004D061E" w:rsidRPr="003D26CD" w:rsidRDefault="004D061E" w:rsidP="00051447">
      <w:pPr>
        <w:spacing w:after="120"/>
        <w:rPr>
          <w:rFonts w:ascii="Arial Narrow" w:hAnsi="Arial Narrow"/>
          <w:b/>
        </w:rPr>
      </w:pPr>
    </w:p>
    <w:p w:rsidR="00A00410" w:rsidRPr="003D26CD" w:rsidRDefault="00A00410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</w:t>
      </w:r>
      <w:r w:rsidR="00D9509A" w:rsidRPr="003D26CD">
        <w:rPr>
          <w:rFonts w:ascii="Arial Narrow" w:hAnsi="Arial Narrow"/>
          <w:b/>
        </w:rPr>
        <w:t>ilješka uz AOP 158</w:t>
      </w:r>
      <w:r w:rsidRPr="003D26CD">
        <w:rPr>
          <w:rFonts w:ascii="Arial Narrow" w:hAnsi="Arial Narrow"/>
          <w:b/>
        </w:rPr>
        <w:t>- Kontinuirani rashodi budućih razdoblja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9"/>
        <w:gridCol w:w="617"/>
        <w:gridCol w:w="1375"/>
        <w:gridCol w:w="1378"/>
        <w:gridCol w:w="1254"/>
      </w:tblGrid>
      <w:tr w:rsidR="00A00410" w:rsidRPr="003D26CD" w:rsidTr="0061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086D73" w:rsidP="00D34B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1.1.2019</w:t>
            </w:r>
            <w:r w:rsidR="0029756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D34B4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</w:t>
            </w:r>
            <w:r w:rsidR="00086D7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19</w:t>
            </w:r>
            <w:r w:rsidR="00A0041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611232" w:rsidRPr="003D26CD" w:rsidTr="0061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3D26CD" w:rsidRDefault="0061123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19</w:t>
            </w:r>
          </w:p>
        </w:tc>
        <w:tc>
          <w:tcPr>
            <w:tcW w:w="1162" w:type="pct"/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budućih razdoblja i nedospjela naplata prihoda</w:t>
            </w:r>
          </w:p>
        </w:tc>
        <w:tc>
          <w:tcPr>
            <w:tcW w:w="332" w:type="pct"/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158</w:t>
            </w:r>
          </w:p>
        </w:tc>
        <w:tc>
          <w:tcPr>
            <w:tcW w:w="740" w:type="pct"/>
            <w:vAlign w:val="center"/>
          </w:tcPr>
          <w:p w:rsidR="00611232" w:rsidRPr="003D26CD" w:rsidRDefault="002310CB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341.831</w:t>
            </w:r>
          </w:p>
        </w:tc>
        <w:tc>
          <w:tcPr>
            <w:tcW w:w="742" w:type="pct"/>
            <w:vAlign w:val="center"/>
          </w:tcPr>
          <w:p w:rsidR="00611232" w:rsidRPr="003D26CD" w:rsidRDefault="002310C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374.133</w:t>
            </w:r>
          </w:p>
        </w:tc>
        <w:tc>
          <w:tcPr>
            <w:tcW w:w="675" w:type="pct"/>
            <w:vAlign w:val="center"/>
          </w:tcPr>
          <w:p w:rsidR="00611232" w:rsidRPr="003D26CD" w:rsidRDefault="002310CB" w:rsidP="001A0F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109,4</w:t>
            </w:r>
          </w:p>
        </w:tc>
      </w:tr>
      <w:tr w:rsidR="00611232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3D26CD" w:rsidRDefault="0061123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19311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Kontinuirani rashodi budućih razdoblja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161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2310CB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341.832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2310CB" w:rsidP="004B53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374.133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232" w:rsidRPr="003D26CD" w:rsidRDefault="00B529D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109,4</w:t>
            </w:r>
          </w:p>
        </w:tc>
      </w:tr>
    </w:tbl>
    <w:p w:rsidR="00933E61" w:rsidRPr="003D26CD" w:rsidRDefault="001C23D2" w:rsidP="00B26B1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Sukladno članku 39.st. 2. Pravilnika o proračunskom računovodstvu škola je evidentirala kontin</w:t>
      </w:r>
      <w:r w:rsidR="00956C40" w:rsidRPr="003D26CD">
        <w:rPr>
          <w:rFonts w:ascii="Arial Narrow" w:hAnsi="Arial Narrow"/>
        </w:rPr>
        <w:t>uiran</w:t>
      </w:r>
      <w:r w:rsidR="00B529DA" w:rsidRPr="003D26CD">
        <w:rPr>
          <w:rFonts w:ascii="Arial Narrow" w:hAnsi="Arial Narrow"/>
        </w:rPr>
        <w:t>e rashode za prosinac 2019</w:t>
      </w:r>
      <w:r w:rsidRPr="003D26CD">
        <w:rPr>
          <w:rFonts w:ascii="Arial Narrow" w:hAnsi="Arial Narrow"/>
        </w:rPr>
        <w:t xml:space="preserve">. godine. </w:t>
      </w:r>
      <w:r w:rsidR="002A0860" w:rsidRPr="003D26CD">
        <w:rPr>
          <w:rFonts w:ascii="Arial Narrow" w:hAnsi="Arial Narrow"/>
        </w:rPr>
        <w:t>Podatak iskazan na poziciji 158</w:t>
      </w:r>
      <w:r w:rsidRPr="003D26CD">
        <w:rPr>
          <w:rFonts w:ascii="Arial Narrow" w:hAnsi="Arial Narrow"/>
        </w:rPr>
        <w:t xml:space="preserve"> odnosi se na plaću 12/</w:t>
      </w:r>
      <w:r w:rsidR="00B26B1C" w:rsidRPr="003D26CD">
        <w:rPr>
          <w:rFonts w:ascii="Arial Narrow" w:hAnsi="Arial Narrow"/>
        </w:rPr>
        <w:t>201</w:t>
      </w:r>
      <w:r w:rsidR="00202BEA">
        <w:rPr>
          <w:rFonts w:ascii="Arial Narrow" w:hAnsi="Arial Narrow"/>
        </w:rPr>
        <w:t>9</w:t>
      </w:r>
      <w:r w:rsidR="00B26B1C" w:rsidRPr="003D26CD">
        <w:rPr>
          <w:rFonts w:ascii="Arial Narrow" w:hAnsi="Arial Narrow"/>
        </w:rPr>
        <w:t>. (</w:t>
      </w:r>
      <w:r w:rsidR="00202BEA">
        <w:rPr>
          <w:rFonts w:ascii="Arial Narrow" w:hAnsi="Arial Narrow"/>
        </w:rPr>
        <w:t>359.219</w:t>
      </w:r>
      <w:r w:rsidR="00474739" w:rsidRPr="003D26CD">
        <w:rPr>
          <w:rFonts w:ascii="Arial Narrow" w:hAnsi="Arial Narrow"/>
        </w:rPr>
        <w:t xml:space="preserve"> kn) </w:t>
      </w:r>
      <w:r w:rsidR="00202BEA">
        <w:rPr>
          <w:rFonts w:ascii="Arial Narrow" w:hAnsi="Arial Narrow"/>
        </w:rPr>
        <w:t>, struja 12/2019</w:t>
      </w:r>
      <w:r w:rsidR="00CA1462" w:rsidRPr="003D26CD">
        <w:rPr>
          <w:rFonts w:ascii="Arial Narrow" w:hAnsi="Arial Narrow"/>
        </w:rPr>
        <w:t>. godine</w:t>
      </w:r>
      <w:r w:rsidR="004B5387" w:rsidRPr="003D26CD">
        <w:rPr>
          <w:rFonts w:ascii="Arial Narrow" w:hAnsi="Arial Narrow"/>
        </w:rPr>
        <w:t xml:space="preserve"> (</w:t>
      </w:r>
      <w:r w:rsidR="00202BEA">
        <w:rPr>
          <w:rFonts w:ascii="Arial Narrow" w:hAnsi="Arial Narrow"/>
        </w:rPr>
        <w:t>6.204 kn) te pomoćnik u nastavi 12/2019 (8</w:t>
      </w:r>
      <w:r w:rsidR="00B26B1C" w:rsidRPr="003D26CD">
        <w:rPr>
          <w:rFonts w:ascii="Arial Narrow" w:hAnsi="Arial Narrow"/>
        </w:rPr>
        <w:t>.</w:t>
      </w:r>
      <w:r w:rsidR="00202BEA">
        <w:rPr>
          <w:rFonts w:ascii="Arial Narrow" w:hAnsi="Arial Narrow"/>
        </w:rPr>
        <w:t>710</w:t>
      </w:r>
      <w:r w:rsidR="00B26B1C" w:rsidRPr="003D26CD">
        <w:rPr>
          <w:rFonts w:ascii="Arial Narrow" w:hAnsi="Arial Narrow"/>
        </w:rPr>
        <w:t xml:space="preserve"> </w:t>
      </w:r>
      <w:r w:rsidR="00202BEA">
        <w:rPr>
          <w:rFonts w:ascii="Arial Narrow" w:hAnsi="Arial Narrow"/>
        </w:rPr>
        <w:t xml:space="preserve"> </w:t>
      </w:r>
      <w:r w:rsidR="00B26B1C" w:rsidRPr="003D26CD">
        <w:rPr>
          <w:rFonts w:ascii="Arial Narrow" w:hAnsi="Arial Narrow"/>
        </w:rPr>
        <w:t>kn)</w:t>
      </w:r>
    </w:p>
    <w:p w:rsidR="00933E61" w:rsidRPr="003D26CD" w:rsidRDefault="00933E61" w:rsidP="00B26B1C">
      <w:pPr>
        <w:spacing w:after="120"/>
        <w:rPr>
          <w:rFonts w:ascii="Arial Narrow" w:hAnsi="Arial Narrow"/>
          <w:b/>
        </w:rPr>
      </w:pPr>
    </w:p>
    <w:p w:rsidR="00525229" w:rsidRPr="003D26CD" w:rsidRDefault="00525229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</w:t>
      </w:r>
      <w:r w:rsidR="00EE35C3" w:rsidRPr="003D26CD">
        <w:rPr>
          <w:rFonts w:ascii="Arial Narrow" w:hAnsi="Arial Narrow"/>
          <w:b/>
        </w:rPr>
        <w:t>16</w:t>
      </w:r>
      <w:r w:rsidR="006263A3" w:rsidRPr="003D26CD">
        <w:rPr>
          <w:rFonts w:ascii="Arial Narrow" w:hAnsi="Arial Narrow"/>
          <w:b/>
        </w:rPr>
        <w:t>3</w:t>
      </w:r>
      <w:r w:rsidR="00022AF2" w:rsidRPr="003D26CD">
        <w:rPr>
          <w:rFonts w:ascii="Arial Narrow" w:hAnsi="Arial Narrow"/>
          <w:b/>
        </w:rPr>
        <w:t xml:space="preserve"> - </w:t>
      </w:r>
      <w:r w:rsidR="003C1896" w:rsidRPr="003D26CD">
        <w:rPr>
          <w:rFonts w:ascii="Arial Narrow" w:hAnsi="Arial Narrow"/>
          <w:b/>
        </w:rPr>
        <w:t xml:space="preserve"> Obveze za rashode poslovanja</w:t>
      </w:r>
    </w:p>
    <w:tbl>
      <w:tblPr>
        <w:tblStyle w:val="Srednjipopis2-Isticanj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2"/>
        <w:gridCol w:w="2668"/>
        <w:gridCol w:w="617"/>
        <w:gridCol w:w="1462"/>
        <w:gridCol w:w="1326"/>
        <w:gridCol w:w="1263"/>
      </w:tblGrid>
      <w:tr w:rsidR="00611511" w:rsidRPr="003D26CD" w:rsidTr="00FF7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CC7CC7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Račun iz </w:t>
            </w:r>
            <w:r w:rsidR="0061151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086D73" w:rsidP="008C132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2019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086D7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2019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611511" w:rsidRPr="003D26CD" w:rsidTr="00FF7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611511" w:rsidRPr="003D26CD" w:rsidTr="003C6B67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57628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2</w:t>
            </w:r>
          </w:p>
        </w:tc>
        <w:tc>
          <w:tcPr>
            <w:tcW w:w="1436" w:type="pct"/>
            <w:vAlign w:val="center"/>
          </w:tcPr>
          <w:p w:rsidR="00611511" w:rsidRPr="003D26CD" w:rsidRDefault="0065762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Obveze</w:t>
            </w:r>
          </w:p>
        </w:tc>
        <w:tc>
          <w:tcPr>
            <w:tcW w:w="332" w:type="pct"/>
            <w:vAlign w:val="center"/>
          </w:tcPr>
          <w:p w:rsidR="003C6B67" w:rsidRPr="003D26CD" w:rsidRDefault="003C6B6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611511" w:rsidRPr="003D26CD" w:rsidRDefault="00F6741E" w:rsidP="003C6B6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163</w:t>
            </w:r>
          </w:p>
          <w:p w:rsidR="00611511" w:rsidRPr="003D26CD" w:rsidRDefault="0061151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787" w:type="pct"/>
            <w:vAlign w:val="center"/>
          </w:tcPr>
          <w:p w:rsidR="00611511" w:rsidRPr="003D26CD" w:rsidRDefault="00FC332E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512.489</w:t>
            </w:r>
          </w:p>
        </w:tc>
        <w:tc>
          <w:tcPr>
            <w:tcW w:w="714" w:type="pct"/>
            <w:vAlign w:val="center"/>
          </w:tcPr>
          <w:p w:rsidR="00611511" w:rsidRPr="003D26CD" w:rsidRDefault="00FC332E" w:rsidP="008912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1.289.400</w:t>
            </w:r>
          </w:p>
        </w:tc>
        <w:tc>
          <w:tcPr>
            <w:tcW w:w="680" w:type="pct"/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251,6</w:t>
            </w:r>
          </w:p>
        </w:tc>
      </w:tr>
      <w:tr w:rsidR="00611511" w:rsidRPr="003D26CD" w:rsidTr="00FF7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</w:t>
            </w:r>
          </w:p>
        </w:tc>
        <w:tc>
          <w:tcPr>
            <w:tcW w:w="1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rashode poslovanja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164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504.947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C332E" w:rsidP="0089128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501.208</w:t>
            </w:r>
          </w:p>
        </w:tc>
        <w:tc>
          <w:tcPr>
            <w:tcW w:w="68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99.3</w:t>
            </w:r>
          </w:p>
        </w:tc>
      </w:tr>
      <w:tr w:rsidR="00611511" w:rsidRPr="003D26CD" w:rsidTr="00FF731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1436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zaposlene</w:t>
            </w:r>
          </w:p>
        </w:tc>
        <w:tc>
          <w:tcPr>
            <w:tcW w:w="332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165</w:t>
            </w:r>
          </w:p>
        </w:tc>
        <w:tc>
          <w:tcPr>
            <w:tcW w:w="787" w:type="pct"/>
            <w:vAlign w:val="center"/>
          </w:tcPr>
          <w:p w:rsidR="00611511" w:rsidRPr="003D26CD" w:rsidRDefault="00FC332E" w:rsidP="00F27C2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340.136</w:t>
            </w:r>
          </w:p>
        </w:tc>
        <w:tc>
          <w:tcPr>
            <w:tcW w:w="714" w:type="pct"/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379.400</w:t>
            </w:r>
          </w:p>
        </w:tc>
        <w:tc>
          <w:tcPr>
            <w:tcW w:w="680" w:type="pct"/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111,5</w:t>
            </w:r>
          </w:p>
        </w:tc>
      </w:tr>
      <w:tr w:rsidR="00611511" w:rsidRPr="003D26CD" w:rsidTr="00FF7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1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materijalne rashode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166</w:t>
            </w:r>
          </w:p>
        </w:tc>
        <w:tc>
          <w:tcPr>
            <w:tcW w:w="7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C332E" w:rsidP="001812B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154.365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56.747</w:t>
            </w:r>
          </w:p>
        </w:tc>
        <w:tc>
          <w:tcPr>
            <w:tcW w:w="68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36,8</w:t>
            </w:r>
          </w:p>
        </w:tc>
      </w:tr>
      <w:tr w:rsidR="007E2143" w:rsidRPr="003D26CD" w:rsidTr="00FF731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E2143" w:rsidRPr="003D26CD" w:rsidRDefault="00FF731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1436" w:type="pct"/>
            <w:vAlign w:val="center"/>
          </w:tcPr>
          <w:p w:rsidR="007E2143" w:rsidRPr="003D26CD" w:rsidRDefault="007E214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332" w:type="pct"/>
            <w:vAlign w:val="center"/>
          </w:tcPr>
          <w:p w:rsidR="007E2143" w:rsidRPr="003D26CD" w:rsidRDefault="007E214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167</w:t>
            </w:r>
          </w:p>
        </w:tc>
        <w:tc>
          <w:tcPr>
            <w:tcW w:w="787" w:type="pct"/>
            <w:vAlign w:val="center"/>
          </w:tcPr>
          <w:p w:rsidR="007E2143" w:rsidRPr="003D26CD" w:rsidRDefault="00FC332E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162</w:t>
            </w:r>
          </w:p>
        </w:tc>
        <w:tc>
          <w:tcPr>
            <w:tcW w:w="714" w:type="pct"/>
            <w:vAlign w:val="center"/>
          </w:tcPr>
          <w:p w:rsidR="007E2143" w:rsidRPr="003D26CD" w:rsidRDefault="00FC332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172</w:t>
            </w:r>
          </w:p>
        </w:tc>
        <w:tc>
          <w:tcPr>
            <w:tcW w:w="680" w:type="pct"/>
            <w:vAlign w:val="center"/>
          </w:tcPr>
          <w:p w:rsidR="007E2143" w:rsidRPr="003D26CD" w:rsidRDefault="00FC332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106,2</w:t>
            </w:r>
          </w:p>
        </w:tc>
      </w:tr>
      <w:tr w:rsidR="00611511" w:rsidRPr="003D26CD" w:rsidTr="00FF7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239</w:t>
            </w:r>
          </w:p>
        </w:tc>
        <w:tc>
          <w:tcPr>
            <w:tcW w:w="1436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Ostale tekuće obveze</w:t>
            </w:r>
          </w:p>
        </w:tc>
        <w:tc>
          <w:tcPr>
            <w:tcW w:w="332" w:type="pct"/>
            <w:vAlign w:val="center"/>
          </w:tcPr>
          <w:p w:rsidR="00611511" w:rsidRPr="003D26CD" w:rsidRDefault="00BD4B3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174</w:t>
            </w:r>
          </w:p>
        </w:tc>
        <w:tc>
          <w:tcPr>
            <w:tcW w:w="787" w:type="pct"/>
            <w:vAlign w:val="center"/>
          </w:tcPr>
          <w:p w:rsidR="00611511" w:rsidRPr="003D26CD" w:rsidRDefault="00FC332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10.284</w:t>
            </w:r>
          </w:p>
        </w:tc>
        <w:tc>
          <w:tcPr>
            <w:tcW w:w="714" w:type="pct"/>
            <w:vAlign w:val="center"/>
          </w:tcPr>
          <w:p w:rsidR="00611511" w:rsidRPr="003D26CD" w:rsidRDefault="00E113D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64.889</w:t>
            </w:r>
          </w:p>
        </w:tc>
        <w:tc>
          <w:tcPr>
            <w:tcW w:w="680" w:type="pct"/>
            <w:vAlign w:val="center"/>
          </w:tcPr>
          <w:p w:rsidR="00611511" w:rsidRPr="003D26CD" w:rsidRDefault="00E113D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631,0</w:t>
            </w:r>
          </w:p>
        </w:tc>
      </w:tr>
      <w:tr w:rsidR="00FF7312" w:rsidRPr="003D26CD" w:rsidTr="00FF7312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F7312" w:rsidRPr="003D26CD" w:rsidRDefault="00FF7312" w:rsidP="00FF731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24</w:t>
            </w:r>
          </w:p>
        </w:tc>
        <w:tc>
          <w:tcPr>
            <w:tcW w:w="1436" w:type="pct"/>
            <w:vAlign w:val="center"/>
          </w:tcPr>
          <w:p w:rsidR="00FF7312" w:rsidRPr="003D26CD" w:rsidRDefault="00FF7312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Obveze za nefinancijsku 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lastRenderedPageBreak/>
              <w:t>imovinu</w:t>
            </w:r>
          </w:p>
        </w:tc>
        <w:tc>
          <w:tcPr>
            <w:tcW w:w="332" w:type="pct"/>
            <w:vAlign w:val="center"/>
          </w:tcPr>
          <w:p w:rsidR="00FF7312" w:rsidRPr="003D26CD" w:rsidRDefault="00FF7312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lastRenderedPageBreak/>
              <w:t>175</w:t>
            </w:r>
          </w:p>
        </w:tc>
        <w:tc>
          <w:tcPr>
            <w:tcW w:w="787" w:type="pct"/>
            <w:vAlign w:val="center"/>
          </w:tcPr>
          <w:p w:rsidR="00FF7312" w:rsidRPr="003D26CD" w:rsidRDefault="00E113D3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7.542</w:t>
            </w:r>
          </w:p>
        </w:tc>
        <w:tc>
          <w:tcPr>
            <w:tcW w:w="714" w:type="pct"/>
            <w:vAlign w:val="center"/>
          </w:tcPr>
          <w:p w:rsidR="00FF7312" w:rsidRPr="003D26CD" w:rsidRDefault="00E113D3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788.192</w:t>
            </w:r>
          </w:p>
        </w:tc>
        <w:tc>
          <w:tcPr>
            <w:tcW w:w="680" w:type="pct"/>
            <w:vAlign w:val="center"/>
          </w:tcPr>
          <w:p w:rsidR="00FF7312" w:rsidRPr="003D26CD" w:rsidRDefault="00642273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&gt;100</w:t>
            </w:r>
          </w:p>
        </w:tc>
      </w:tr>
    </w:tbl>
    <w:p w:rsidR="001342B1" w:rsidRDefault="00246B66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lastRenderedPageBreak/>
        <w:t>Iz horizontalne analize pojedini</w:t>
      </w:r>
      <w:r w:rsidR="002944CA" w:rsidRPr="003D26CD">
        <w:rPr>
          <w:rFonts w:ascii="Arial Narrow" w:hAnsi="Arial Narrow"/>
        </w:rPr>
        <w:t>h pozicija vidljivo je</w:t>
      </w:r>
      <w:r w:rsidR="008D110B" w:rsidRPr="003D26CD">
        <w:rPr>
          <w:rFonts w:ascii="Arial Narrow" w:hAnsi="Arial Narrow"/>
        </w:rPr>
        <w:t xml:space="preserve"> i</w:t>
      </w:r>
      <w:r w:rsidR="002944CA" w:rsidRPr="003D26CD">
        <w:rPr>
          <w:rFonts w:ascii="Arial Narrow" w:hAnsi="Arial Narrow"/>
        </w:rPr>
        <w:t xml:space="preserve"> </w:t>
      </w:r>
      <w:r w:rsidR="00985EED" w:rsidRPr="003D26CD">
        <w:rPr>
          <w:rFonts w:ascii="Arial Narrow" w:hAnsi="Arial Narrow"/>
        </w:rPr>
        <w:t>povećanje</w:t>
      </w:r>
      <w:r w:rsidR="008D110B" w:rsidRPr="003D26CD">
        <w:rPr>
          <w:rFonts w:ascii="Arial Narrow" w:hAnsi="Arial Narrow"/>
        </w:rPr>
        <w:t xml:space="preserve"> i smanjenje </w:t>
      </w:r>
      <w:r w:rsidR="002944CA" w:rsidRPr="003D26CD">
        <w:rPr>
          <w:rFonts w:ascii="Arial Narrow" w:hAnsi="Arial Narrow"/>
        </w:rPr>
        <w:t xml:space="preserve"> iskazanih obveza </w:t>
      </w:r>
      <w:r w:rsidRPr="003D26CD">
        <w:rPr>
          <w:rFonts w:ascii="Arial Narrow" w:hAnsi="Arial Narrow"/>
        </w:rPr>
        <w:t xml:space="preserve"> na kraju godine u odnosu na početak godine. </w:t>
      </w:r>
      <w:r w:rsidR="008D110B" w:rsidRPr="003D26CD">
        <w:rPr>
          <w:rFonts w:ascii="Arial Narrow" w:hAnsi="Arial Narrow"/>
        </w:rPr>
        <w:t xml:space="preserve">Povećanje   se kreće od </w:t>
      </w:r>
      <w:r w:rsidR="000306D8">
        <w:rPr>
          <w:rFonts w:ascii="Arial Narrow" w:hAnsi="Arial Narrow"/>
        </w:rPr>
        <w:t>6,2</w:t>
      </w:r>
      <w:r w:rsidRPr="003D26CD">
        <w:rPr>
          <w:rFonts w:ascii="Arial Narrow" w:hAnsi="Arial Narrow"/>
        </w:rPr>
        <w:t xml:space="preserve">% do </w:t>
      </w:r>
      <w:r w:rsidR="000306D8">
        <w:rPr>
          <w:rFonts w:ascii="Arial Narrow" w:hAnsi="Arial Narrow"/>
        </w:rPr>
        <w:t>631,0</w:t>
      </w:r>
      <w:r w:rsidR="00241A08" w:rsidRPr="003D26CD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>%, a smanjenje od</w:t>
      </w:r>
      <w:r w:rsidRPr="003D26CD">
        <w:rPr>
          <w:rFonts w:ascii="Arial Narrow" w:hAnsi="Arial Narrow"/>
        </w:rPr>
        <w:t xml:space="preserve"> </w:t>
      </w:r>
      <w:r w:rsidR="000306D8">
        <w:rPr>
          <w:rFonts w:ascii="Arial Narrow" w:hAnsi="Arial Narrow"/>
        </w:rPr>
        <w:t>63,2</w:t>
      </w:r>
      <w:r w:rsidR="008D110B" w:rsidRPr="003D26CD">
        <w:rPr>
          <w:rFonts w:ascii="Arial Narrow" w:hAnsi="Arial Narrow"/>
        </w:rPr>
        <w:t>% do 8</w:t>
      </w:r>
      <w:r w:rsidR="00642273">
        <w:rPr>
          <w:rFonts w:ascii="Arial Narrow" w:hAnsi="Arial Narrow"/>
        </w:rPr>
        <w:t>0,7</w:t>
      </w:r>
      <w:r w:rsidR="008D110B" w:rsidRPr="003D26CD">
        <w:rPr>
          <w:rFonts w:ascii="Arial Narrow" w:hAnsi="Arial Narrow"/>
        </w:rPr>
        <w:t xml:space="preserve">%, a ukupne obveze na kraju razdoblja povećane su za </w:t>
      </w:r>
      <w:r w:rsidR="00642273">
        <w:rPr>
          <w:rFonts w:ascii="Arial Narrow" w:hAnsi="Arial Narrow"/>
        </w:rPr>
        <w:t>251,6</w:t>
      </w:r>
      <w:r w:rsidR="008D110B" w:rsidRPr="003D26CD">
        <w:rPr>
          <w:rFonts w:ascii="Arial Narrow" w:hAnsi="Arial Narrow"/>
        </w:rPr>
        <w:t xml:space="preserve">%. </w:t>
      </w:r>
      <w:r w:rsidR="002944CA" w:rsidRPr="003D26CD">
        <w:rPr>
          <w:rFonts w:ascii="Arial Narrow" w:hAnsi="Arial Narrow"/>
        </w:rPr>
        <w:t xml:space="preserve">Okružnicom </w:t>
      </w:r>
      <w:r w:rsidRPr="003D26CD">
        <w:rPr>
          <w:rFonts w:ascii="Arial Narrow" w:hAnsi="Arial Narrow"/>
        </w:rPr>
        <w:t xml:space="preserve"> Ministarstva financija bilo je omogućeno odstupanje od primjene gotovinskog načela iskazivanja prihoda propisanog Pravilnikom o proračunskom računovodstvu i Računskom planu kod evidencije doznaka sredstava pomoći izravnanja za decentralizirane funkcije.</w:t>
      </w:r>
      <w:r w:rsidR="00676596" w:rsidRPr="003D26CD">
        <w:rPr>
          <w:rFonts w:ascii="Arial Narrow" w:hAnsi="Arial Narrow"/>
        </w:rPr>
        <w:t xml:space="preserve"> Do 2014. godine korisnici su priznavali prihode 2014. godine koje su dobili od nadležne jedinice lokalne samouprave u 2015.</w:t>
      </w:r>
      <w:r w:rsidR="008F30AA" w:rsidRPr="003D26CD">
        <w:rPr>
          <w:rFonts w:ascii="Arial Narrow" w:hAnsi="Arial Narrow"/>
        </w:rPr>
        <w:t xml:space="preserve"> godini</w:t>
      </w:r>
      <w:r w:rsidR="00AB45F2" w:rsidRPr="003D26CD">
        <w:rPr>
          <w:rFonts w:ascii="Arial Narrow" w:hAnsi="Arial Narrow"/>
        </w:rPr>
        <w:t xml:space="preserve"> </w:t>
      </w:r>
      <w:r w:rsidR="00676596" w:rsidRPr="003D26CD">
        <w:rPr>
          <w:rFonts w:ascii="Arial Narrow" w:hAnsi="Arial Narrow"/>
        </w:rPr>
        <w:t xml:space="preserve"> za podmirenje obaveza po rashodima koji se financiraju iz pomoći izravnanja. To odstupanje se više ne </w:t>
      </w:r>
      <w:r w:rsidR="00AB45F2" w:rsidRPr="003D26CD">
        <w:rPr>
          <w:rFonts w:ascii="Arial Narrow" w:hAnsi="Arial Narrow"/>
        </w:rPr>
        <w:t>primjenjuje od</w:t>
      </w:r>
      <w:r w:rsidR="00676596" w:rsidRPr="003D26CD">
        <w:rPr>
          <w:rFonts w:ascii="Arial Narrow" w:hAnsi="Arial Narrow"/>
        </w:rPr>
        <w:t xml:space="preserve"> 2015. godini i škola je kao proračunski korisnik iskazala</w:t>
      </w:r>
      <w:r w:rsidR="00642273">
        <w:rPr>
          <w:rFonts w:ascii="Arial Narrow" w:hAnsi="Arial Narrow"/>
        </w:rPr>
        <w:t xml:space="preserve"> rashode i obveza nastale u 2019</w:t>
      </w:r>
      <w:r w:rsidR="00676596" w:rsidRPr="003D26CD">
        <w:rPr>
          <w:rFonts w:ascii="Arial Narrow" w:hAnsi="Arial Narrow"/>
        </w:rPr>
        <w:t xml:space="preserve">. godini bez obzira  što te obveze nisu i podmirene u </w:t>
      </w:r>
      <w:r w:rsidR="00642273">
        <w:rPr>
          <w:rFonts w:ascii="Arial Narrow" w:hAnsi="Arial Narrow"/>
        </w:rPr>
        <w:t>2019</w:t>
      </w:r>
      <w:r w:rsidR="00514B7D" w:rsidRPr="003D26CD">
        <w:rPr>
          <w:rFonts w:ascii="Arial Narrow" w:hAnsi="Arial Narrow"/>
        </w:rPr>
        <w:t>. godini jer će</w:t>
      </w:r>
      <w:r w:rsidR="00676596" w:rsidRPr="003D26CD">
        <w:rPr>
          <w:rFonts w:ascii="Arial Narrow" w:hAnsi="Arial Narrow"/>
        </w:rPr>
        <w:t xml:space="preserve"> sredstva školi</w:t>
      </w:r>
      <w:r w:rsidR="00514B7D" w:rsidRPr="003D26CD">
        <w:rPr>
          <w:rFonts w:ascii="Arial Narrow" w:hAnsi="Arial Narrow"/>
        </w:rPr>
        <w:t xml:space="preserve"> za iste obve</w:t>
      </w:r>
      <w:r w:rsidR="007D4D4B" w:rsidRPr="003D26CD">
        <w:rPr>
          <w:rFonts w:ascii="Arial Narrow" w:hAnsi="Arial Narrow"/>
        </w:rPr>
        <w:t>ze biti  doznačena u 2</w:t>
      </w:r>
      <w:r w:rsidR="00642273">
        <w:rPr>
          <w:rFonts w:ascii="Arial Narrow" w:hAnsi="Arial Narrow"/>
        </w:rPr>
        <w:t>020</w:t>
      </w:r>
      <w:r w:rsidR="00514B7D" w:rsidRPr="003D26CD">
        <w:rPr>
          <w:rFonts w:ascii="Arial Narrow" w:hAnsi="Arial Narrow"/>
        </w:rPr>
        <w:t>. godini. Zbog</w:t>
      </w:r>
      <w:r w:rsidR="00676596" w:rsidRPr="003D26CD">
        <w:rPr>
          <w:rFonts w:ascii="Arial Narrow" w:hAnsi="Arial Narrow"/>
        </w:rPr>
        <w:t xml:space="preserve"> modificiranog načela nastanka događaja šk</w:t>
      </w:r>
      <w:r w:rsidR="00642273">
        <w:rPr>
          <w:rFonts w:ascii="Arial Narrow" w:hAnsi="Arial Narrow"/>
        </w:rPr>
        <w:t>ola je završila 2019</w:t>
      </w:r>
      <w:r w:rsidR="00514B7D" w:rsidRPr="003D26CD">
        <w:rPr>
          <w:rFonts w:ascii="Arial Narrow" w:hAnsi="Arial Narrow"/>
        </w:rPr>
        <w:t>. godinu s manjkom</w:t>
      </w:r>
      <w:r w:rsidR="00413F8E" w:rsidRPr="003D26CD">
        <w:rPr>
          <w:rFonts w:ascii="Arial Narrow" w:hAnsi="Arial Narrow"/>
        </w:rPr>
        <w:t xml:space="preserve">. </w:t>
      </w:r>
    </w:p>
    <w:p w:rsidR="00642273" w:rsidRPr="003D26CD" w:rsidRDefault="00642273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Ulaskom Škole u program energetske učinkovitost, povećan je i indeks obveza na kraju iskazanog razdoblja, sredstva za 3. privremenu situaciju nisu doznačena Školi i iste nisu mogle biti plaćene na dan 31.12.2019.</w:t>
      </w:r>
    </w:p>
    <w:p w:rsidR="004662F0" w:rsidRPr="003D26CD" w:rsidRDefault="004662F0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022AF2" w:rsidRPr="003D26CD" w:rsidRDefault="00863CAA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Bilješke uz AOP 236 - </w:t>
      </w:r>
      <w:r w:rsidR="003A6BED" w:rsidRPr="003D26CD">
        <w:rPr>
          <w:rFonts w:ascii="Arial Narrow" w:hAnsi="Arial Narrow"/>
          <w:b/>
        </w:rPr>
        <w:t>Manjak</w:t>
      </w:r>
      <w:r w:rsidR="009A6AA0" w:rsidRPr="003D26CD">
        <w:rPr>
          <w:rFonts w:ascii="Arial Narrow" w:hAnsi="Arial Narrow"/>
          <w:b/>
        </w:rPr>
        <w:t xml:space="preserve"> </w:t>
      </w:r>
      <w:r w:rsidR="00FC7AA5" w:rsidRPr="003D26CD">
        <w:rPr>
          <w:rFonts w:ascii="Arial Narrow" w:hAnsi="Arial Narrow"/>
          <w:b/>
        </w:rPr>
        <w:t xml:space="preserve"> prihoda poslovanja</w:t>
      </w:r>
      <w:r w:rsidR="00A36221" w:rsidRPr="003D26CD">
        <w:rPr>
          <w:rFonts w:ascii="Arial Narrow" w:hAnsi="Arial Narrow"/>
          <w:b/>
        </w:rPr>
        <w:t xml:space="preserve"> </w:t>
      </w:r>
      <w:proofErr w:type="spellStart"/>
      <w:r w:rsidR="00A36221" w:rsidRPr="003D26CD">
        <w:rPr>
          <w:rFonts w:ascii="Arial Narrow" w:hAnsi="Arial Narrow"/>
          <w:b/>
        </w:rPr>
        <w:t>poslovanja</w:t>
      </w:r>
      <w:proofErr w:type="spellEnd"/>
    </w:p>
    <w:tbl>
      <w:tblPr>
        <w:tblStyle w:val="Srednjipopis2-Isticanje1"/>
        <w:tblW w:w="489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2"/>
        <w:gridCol w:w="2970"/>
        <w:gridCol w:w="950"/>
        <w:gridCol w:w="1455"/>
        <w:gridCol w:w="29"/>
        <w:gridCol w:w="1710"/>
        <w:gridCol w:w="29"/>
      </w:tblGrid>
      <w:tr w:rsidR="00AD7FE3" w:rsidRPr="003D26CD" w:rsidTr="00A6729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8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  <w:r w:rsidR="00FB23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PR-RAS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BILANCA</w:t>
            </w:r>
          </w:p>
        </w:tc>
      </w:tr>
      <w:tr w:rsidR="00AD7FE3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</w:tr>
      <w:tr w:rsidR="00AD7FE3" w:rsidRPr="003D26CD" w:rsidTr="00A67292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3A6BED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9222</w:t>
            </w:r>
          </w:p>
        </w:tc>
        <w:tc>
          <w:tcPr>
            <w:tcW w:w="1633" w:type="pct"/>
            <w:vAlign w:val="center"/>
          </w:tcPr>
          <w:p w:rsidR="00AD7FE3" w:rsidRPr="003D26CD" w:rsidRDefault="003A6BE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Manjak</w:t>
            </w:r>
            <w:r w:rsidR="009A6AA0" w:rsidRPr="003D26CD">
              <w:rPr>
                <w:rFonts w:ascii="Arial Narrow" w:eastAsiaTheme="minorEastAsia" w:hAnsi="Arial Narrow"/>
              </w:rPr>
              <w:t xml:space="preserve"> </w:t>
            </w:r>
            <w:r w:rsidR="00AD7FE3" w:rsidRPr="003D26CD">
              <w:rPr>
                <w:rFonts w:ascii="Arial Narrow" w:eastAsiaTheme="minorEastAsia" w:hAnsi="Arial Narrow"/>
              </w:rPr>
              <w:t xml:space="preserve"> prihoda poslovanja</w:t>
            </w:r>
          </w:p>
        </w:tc>
        <w:tc>
          <w:tcPr>
            <w:tcW w:w="522" w:type="pct"/>
            <w:vAlign w:val="center"/>
          </w:tcPr>
          <w:p w:rsidR="00A67292" w:rsidRPr="003D26CD" w:rsidRDefault="00A6729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AD7FE3" w:rsidRPr="003D26CD" w:rsidRDefault="000452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236</w:t>
            </w:r>
          </w:p>
          <w:p w:rsidR="00AD7FE3" w:rsidRPr="003D26CD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AD7FE3" w:rsidRPr="003D26CD" w:rsidRDefault="00086D73" w:rsidP="00A40A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-805.586</w:t>
            </w:r>
          </w:p>
        </w:tc>
        <w:tc>
          <w:tcPr>
            <w:tcW w:w="956" w:type="pct"/>
            <w:gridSpan w:val="2"/>
            <w:vAlign w:val="center"/>
          </w:tcPr>
          <w:p w:rsidR="00AD7FE3" w:rsidRPr="003D26CD" w:rsidRDefault="00A40AB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-805.586</w:t>
            </w:r>
          </w:p>
        </w:tc>
      </w:tr>
    </w:tbl>
    <w:p w:rsidR="005C4AB0" w:rsidRPr="003D26CD" w:rsidRDefault="005C4AB0" w:rsidP="00C822C0">
      <w:pPr>
        <w:spacing w:after="120"/>
        <w:rPr>
          <w:rFonts w:ascii="Arial Narrow" w:hAnsi="Arial Narrow"/>
          <w:b/>
        </w:rPr>
      </w:pPr>
    </w:p>
    <w:p w:rsidR="000B0DD5" w:rsidRPr="003D26CD" w:rsidRDefault="000B0DD5" w:rsidP="00C822C0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Struktura posl</w:t>
      </w:r>
      <w:r w:rsidR="00C853E9" w:rsidRPr="003D26CD">
        <w:rPr>
          <w:rFonts w:ascii="Arial Narrow" w:hAnsi="Arial Narrow"/>
          <w:b/>
        </w:rPr>
        <w:t>ovnog rezultata iskazanog viška</w:t>
      </w:r>
      <w:r w:rsidR="00E13CC1" w:rsidRPr="003D26CD">
        <w:rPr>
          <w:rFonts w:ascii="Arial Narrow" w:hAnsi="Arial Narrow"/>
          <w:b/>
        </w:rPr>
        <w:t>/manjka</w:t>
      </w:r>
      <w:r w:rsidR="005F0028" w:rsidRPr="003D26CD">
        <w:rPr>
          <w:rFonts w:ascii="Arial Narrow" w:hAnsi="Arial Narrow"/>
          <w:b/>
        </w:rPr>
        <w:t xml:space="preserve"> </w:t>
      </w:r>
      <w:r w:rsidR="00E65F57" w:rsidRPr="003D26CD">
        <w:rPr>
          <w:rFonts w:ascii="Arial Narrow" w:hAnsi="Arial Narrow"/>
          <w:b/>
        </w:rPr>
        <w:t xml:space="preserve"> </w:t>
      </w:r>
      <w:r w:rsidR="00AC7868" w:rsidRPr="003D26CD">
        <w:rPr>
          <w:rFonts w:ascii="Arial Narrow" w:hAnsi="Arial Narrow"/>
          <w:b/>
        </w:rPr>
        <w:t>2018</w:t>
      </w:r>
      <w:r w:rsidRPr="003D26CD">
        <w:rPr>
          <w:rFonts w:ascii="Arial Narrow" w:hAnsi="Arial Narrow"/>
          <w:b/>
        </w:rPr>
        <w:t>. godine – po izvorima</w:t>
      </w:r>
    </w:p>
    <w:tbl>
      <w:tblPr>
        <w:tblStyle w:val="Srednjipopis2-Isticanje1"/>
        <w:tblW w:w="5254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506"/>
        <w:gridCol w:w="3170"/>
        <w:gridCol w:w="1236"/>
        <w:gridCol w:w="1468"/>
        <w:gridCol w:w="1380"/>
      </w:tblGrid>
      <w:tr w:rsidR="0067262E" w:rsidRPr="003D26CD" w:rsidTr="007B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Pr="003D26CD" w:rsidRDefault="003B3EE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BA5271" w:rsidP="00F76DD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Preneseni </w:t>
            </w:r>
            <w:r w:rsidR="00F76DD9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poslovni rezultat </w:t>
            </w:r>
            <w:r w:rsidR="00AD3F9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2018</w:t>
            </w:r>
            <w:r w:rsidR="003B3EE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 godine.</w:t>
            </w:r>
          </w:p>
        </w:tc>
        <w:tc>
          <w:tcPr>
            <w:tcW w:w="7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AD3F9C" w:rsidP="009E631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Rezultat poslovanja 2019</w:t>
            </w:r>
            <w:r w:rsidR="009E631B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3B3EE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godine</w:t>
            </w:r>
          </w:p>
        </w:tc>
        <w:tc>
          <w:tcPr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3411D6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Višak prihoda raspoloživ u sljedećem razdoblju</w:t>
            </w:r>
            <w:r w:rsidR="003B3EE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)</w:t>
            </w:r>
          </w:p>
        </w:tc>
      </w:tr>
      <w:tr w:rsidR="0067262E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Pr="003D26CD" w:rsidRDefault="003B3EE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67262E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Pr="003D26CD" w:rsidRDefault="003B3EE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92211</w:t>
            </w:r>
          </w:p>
        </w:tc>
        <w:tc>
          <w:tcPr>
            <w:tcW w:w="1624" w:type="pct"/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Višak prihoda poslovanja Vlastita sredstva škole</w:t>
            </w:r>
          </w:p>
        </w:tc>
        <w:tc>
          <w:tcPr>
            <w:tcW w:w="633" w:type="pct"/>
            <w:vAlign w:val="center"/>
          </w:tcPr>
          <w:p w:rsidR="003B3EE0" w:rsidRPr="003D26CD" w:rsidRDefault="00DE756B" w:rsidP="00461CB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27.108</w:t>
            </w:r>
          </w:p>
        </w:tc>
        <w:tc>
          <w:tcPr>
            <w:tcW w:w="752" w:type="pct"/>
            <w:vAlign w:val="center"/>
          </w:tcPr>
          <w:p w:rsidR="003B3EE0" w:rsidRPr="003D26CD" w:rsidRDefault="00C87466" w:rsidP="00231B9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4.076</w:t>
            </w:r>
          </w:p>
        </w:tc>
        <w:tc>
          <w:tcPr>
            <w:tcW w:w="707" w:type="pct"/>
            <w:vAlign w:val="center"/>
          </w:tcPr>
          <w:p w:rsidR="003B3EE0" w:rsidRPr="003D26CD" w:rsidRDefault="004A530B" w:rsidP="00CC06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31.184</w:t>
            </w:r>
          </w:p>
        </w:tc>
      </w:tr>
      <w:tr w:rsidR="0067262E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Pr="003D26CD" w:rsidRDefault="003B3EE0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92211</w:t>
            </w:r>
          </w:p>
        </w:tc>
        <w:tc>
          <w:tcPr>
            <w:tcW w:w="16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3B3EE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Višak prihoda poslovanja Hrvatski zavod za zapošljavanje</w:t>
            </w:r>
          </w:p>
        </w:tc>
        <w:tc>
          <w:tcPr>
            <w:tcW w:w="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AD3F9C" w:rsidP="00AC786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4.511</w:t>
            </w:r>
          </w:p>
        </w:tc>
        <w:tc>
          <w:tcPr>
            <w:tcW w:w="7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3D26CD" w:rsidRDefault="00AD3F9C" w:rsidP="00AD3F9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-4.511</w:t>
            </w:r>
          </w:p>
        </w:tc>
        <w:tc>
          <w:tcPr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3EE0" w:rsidRPr="003D26CD" w:rsidRDefault="00A01B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0119F7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0119F7" w:rsidRPr="003D26CD" w:rsidRDefault="00C37E2D" w:rsidP="0025530A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92211</w:t>
            </w:r>
          </w:p>
        </w:tc>
        <w:tc>
          <w:tcPr>
            <w:tcW w:w="1624" w:type="pct"/>
            <w:tcBorders>
              <w:right w:val="single" w:sz="6" w:space="0" w:color="4F81BD" w:themeColor="accent1"/>
            </w:tcBorders>
            <w:vAlign w:val="center"/>
          </w:tcPr>
          <w:p w:rsidR="000119F7" w:rsidRPr="003D26CD" w:rsidRDefault="003435D0" w:rsidP="00C37E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</w:t>
            </w:r>
            <w:r w:rsidR="00C37E2D" w:rsidRPr="003D26CD">
              <w:rPr>
                <w:rFonts w:ascii="Arial Narrow" w:hAnsi="Arial Narrow"/>
              </w:rPr>
              <w:t xml:space="preserve"> prihoda poslovanja Grad Sinj</w:t>
            </w:r>
          </w:p>
        </w:tc>
        <w:tc>
          <w:tcPr>
            <w:tcW w:w="633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0119F7" w:rsidRPr="003D26CD" w:rsidRDefault="003435D0" w:rsidP="00AC786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0,00</w:t>
            </w:r>
          </w:p>
        </w:tc>
        <w:tc>
          <w:tcPr>
            <w:tcW w:w="752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0119F7" w:rsidRPr="003D26CD" w:rsidRDefault="003435D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900</w:t>
            </w:r>
          </w:p>
        </w:tc>
        <w:tc>
          <w:tcPr>
            <w:tcW w:w="707" w:type="pct"/>
            <w:tcBorders>
              <w:left w:val="single" w:sz="6" w:space="0" w:color="4F81BD" w:themeColor="accent1"/>
            </w:tcBorders>
            <w:vAlign w:val="center"/>
          </w:tcPr>
          <w:p w:rsidR="000119F7" w:rsidRPr="003D26CD" w:rsidRDefault="003435D0" w:rsidP="00F76DD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900</w:t>
            </w:r>
          </w:p>
        </w:tc>
      </w:tr>
      <w:tr w:rsidR="0067262E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3B3EE0" w:rsidRPr="003D26CD" w:rsidRDefault="003B3EE0" w:rsidP="00E879A8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</w:t>
            </w:r>
            <w:r w:rsidR="00E879A8" w:rsidRPr="003D26CD">
              <w:rPr>
                <w:rFonts w:ascii="Arial Narrow" w:eastAsiaTheme="minorEastAsia" w:hAnsi="Arial Narrow"/>
              </w:rPr>
              <w:t>2211</w:t>
            </w:r>
          </w:p>
        </w:tc>
        <w:tc>
          <w:tcPr>
            <w:tcW w:w="1624" w:type="pct"/>
            <w:tcBorders>
              <w:bottom w:val="single" w:sz="6" w:space="0" w:color="4F81BD" w:themeColor="accent1"/>
            </w:tcBorders>
            <w:vAlign w:val="center"/>
          </w:tcPr>
          <w:p w:rsidR="003B3EE0" w:rsidRPr="003D26CD" w:rsidRDefault="00C37E2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 prihoda poslovanja AOO</w:t>
            </w:r>
          </w:p>
        </w:tc>
        <w:tc>
          <w:tcPr>
            <w:tcW w:w="633" w:type="pct"/>
            <w:tcBorders>
              <w:top w:val="single" w:sz="6" w:space="0" w:color="4F81BD" w:themeColor="accent1"/>
            </w:tcBorders>
            <w:vAlign w:val="center"/>
          </w:tcPr>
          <w:p w:rsidR="003B3EE0" w:rsidRPr="003D26CD" w:rsidRDefault="003435D0" w:rsidP="001A2E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1.786</w:t>
            </w:r>
          </w:p>
        </w:tc>
        <w:tc>
          <w:tcPr>
            <w:tcW w:w="752" w:type="pct"/>
            <w:tcBorders>
              <w:top w:val="single" w:sz="6" w:space="0" w:color="4F81BD" w:themeColor="accent1"/>
            </w:tcBorders>
            <w:vAlign w:val="center"/>
          </w:tcPr>
          <w:p w:rsidR="003B3EE0" w:rsidRPr="003D26CD" w:rsidRDefault="003435D0" w:rsidP="00E879A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1.294</w:t>
            </w:r>
          </w:p>
        </w:tc>
        <w:tc>
          <w:tcPr>
            <w:tcW w:w="707" w:type="pct"/>
            <w:vAlign w:val="center"/>
          </w:tcPr>
          <w:p w:rsidR="003B3EE0" w:rsidRPr="003D26CD" w:rsidRDefault="003435D0" w:rsidP="00BA527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3.080</w:t>
            </w:r>
          </w:p>
        </w:tc>
      </w:tr>
      <w:tr w:rsidR="00504ECD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ED616B" w:rsidRPr="003D26CD" w:rsidRDefault="00E879A8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92211</w:t>
            </w:r>
          </w:p>
        </w:tc>
        <w:tc>
          <w:tcPr>
            <w:tcW w:w="1624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8605D9" w:rsidRPr="003D26CD" w:rsidRDefault="003435D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poslovanja Općina Otok</w:t>
            </w:r>
          </w:p>
        </w:tc>
        <w:tc>
          <w:tcPr>
            <w:tcW w:w="633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ED616B" w:rsidRPr="003D26CD" w:rsidRDefault="003435D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</w:t>
            </w:r>
          </w:p>
        </w:tc>
        <w:tc>
          <w:tcPr>
            <w:tcW w:w="752" w:type="pct"/>
            <w:tcBorders>
              <w:bottom w:val="single" w:sz="4" w:space="0" w:color="4F81BD" w:themeColor="accent1"/>
            </w:tcBorders>
            <w:vAlign w:val="center"/>
          </w:tcPr>
          <w:p w:rsidR="00ED616B" w:rsidRPr="003D26CD" w:rsidRDefault="00C87466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</w:t>
            </w:r>
          </w:p>
        </w:tc>
        <w:tc>
          <w:tcPr>
            <w:tcW w:w="707" w:type="pct"/>
            <w:tcBorders>
              <w:bottom w:val="single" w:sz="4" w:space="0" w:color="4F81BD" w:themeColor="accent1"/>
            </w:tcBorders>
            <w:vAlign w:val="center"/>
          </w:tcPr>
          <w:p w:rsidR="00ED616B" w:rsidRPr="003D26CD" w:rsidRDefault="00C87466" w:rsidP="00BA527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</w:t>
            </w:r>
          </w:p>
        </w:tc>
      </w:tr>
      <w:tr w:rsidR="00504ECD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504ECD" w:rsidRPr="003D26CD" w:rsidRDefault="008605D9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92221</w:t>
            </w:r>
          </w:p>
        </w:tc>
        <w:tc>
          <w:tcPr>
            <w:tcW w:w="1624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504ECD" w:rsidRPr="003D26CD" w:rsidRDefault="008605D9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eastAsiaTheme="minorEastAsia" w:hAnsi="Arial Narrow"/>
              </w:rPr>
              <w:t xml:space="preserve">Manjak 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prihoda</w:t>
            </w:r>
            <w:r w:rsidRPr="003D26CD">
              <w:rPr>
                <w:rFonts w:ascii="Arial Narrow" w:eastAsiaTheme="minorEastAsia" w:hAnsi="Arial Narrow"/>
              </w:rPr>
              <w:t xml:space="preserve"> p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o</w:t>
            </w:r>
            <w:r w:rsidRPr="003D26CD">
              <w:rPr>
                <w:rFonts w:ascii="Arial Narrow" w:eastAsiaTheme="minorEastAsia" w:hAnsi="Arial Narrow"/>
              </w:rPr>
              <w:t>slovanja Županija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ECD" w:rsidRPr="003D26CD" w:rsidRDefault="008651D3" w:rsidP="008605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-84.682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ECD" w:rsidRPr="003D26CD" w:rsidRDefault="008651D3" w:rsidP="008651D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53.483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04ECD" w:rsidRPr="003D26CD" w:rsidRDefault="007A46AA" w:rsidP="008651D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  <w:r w:rsidR="008651D3" w:rsidRPr="003D26CD">
              <w:rPr>
                <w:rFonts w:ascii="Arial Narrow" w:hAnsi="Arial Narrow"/>
              </w:rPr>
              <w:t>31.199</w:t>
            </w:r>
          </w:p>
        </w:tc>
      </w:tr>
      <w:tr w:rsidR="00DE756B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DE756B" w:rsidRPr="003D26CD" w:rsidRDefault="00DE756B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92221</w:t>
            </w:r>
          </w:p>
        </w:tc>
        <w:tc>
          <w:tcPr>
            <w:tcW w:w="1624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DE756B" w:rsidRPr="003D26CD" w:rsidRDefault="00DE756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Manjak prihoda poslovanja </w:t>
            </w:r>
            <w:r w:rsidRPr="003D26CD">
              <w:rPr>
                <w:rFonts w:ascii="Arial Narrow" w:hAnsi="Arial Narrow"/>
              </w:rPr>
              <w:lastRenderedPageBreak/>
              <w:t>Ministarstvo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DE756B" w:rsidRPr="003D26CD" w:rsidRDefault="00DE756B" w:rsidP="008605D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lastRenderedPageBreak/>
              <w:t>-18.625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DE756B" w:rsidRPr="003D26CD" w:rsidRDefault="00DE756B" w:rsidP="008651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20.949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DE756B" w:rsidRPr="003D26CD" w:rsidRDefault="00DE756B" w:rsidP="008651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2.324</w:t>
            </w:r>
          </w:p>
        </w:tc>
      </w:tr>
      <w:tr w:rsidR="00E879A8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E879A8" w:rsidRPr="003D26CD" w:rsidRDefault="00E879A8" w:rsidP="00B21DD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lastRenderedPageBreak/>
              <w:t>922</w:t>
            </w: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E879A8" w:rsidRPr="003D26CD" w:rsidRDefault="00AC7868" w:rsidP="008605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Manjak prihoda poslovanja 2018</w:t>
            </w:r>
            <w:r w:rsidR="0052650B" w:rsidRPr="003D26C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E879A8" w:rsidRPr="003D26CD" w:rsidRDefault="00461CB8" w:rsidP="007B75F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  <w:r w:rsidR="007B75FB" w:rsidRPr="003D26CD">
              <w:rPr>
                <w:rFonts w:ascii="Arial Narrow" w:hAnsi="Arial Narrow"/>
                <w:b/>
              </w:rPr>
              <w:t>69.902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E879A8" w:rsidRPr="003D26CD" w:rsidRDefault="00C87466" w:rsidP="00C874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76.200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E879A8" w:rsidRPr="003D26CD" w:rsidRDefault="00DE756B" w:rsidP="00C874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6.298</w:t>
            </w:r>
          </w:p>
        </w:tc>
      </w:tr>
      <w:tr w:rsidR="00461CB8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461CB8" w:rsidRPr="003D26CD" w:rsidRDefault="008B55F4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9221</w:t>
            </w:r>
            <w:r w:rsidR="00461CB8" w:rsidRPr="003D26CD">
              <w:rPr>
                <w:rFonts w:ascii="Arial Narrow" w:hAnsi="Arial Narrow"/>
              </w:rPr>
              <w:t>2</w:t>
            </w: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461CB8" w:rsidRPr="003D26CD" w:rsidRDefault="00461CB8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od nefinancijske imovine Županija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461CB8" w:rsidRPr="003D26CD" w:rsidRDefault="00C668BF" w:rsidP="00AC786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-7.543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461CB8" w:rsidRPr="003D26CD" w:rsidRDefault="00D17296" w:rsidP="00C668B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730.11</w:t>
            </w:r>
            <w:r w:rsidR="008B55F4" w:rsidRPr="003D26CD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461CB8" w:rsidRPr="003D26CD" w:rsidRDefault="003A7F54" w:rsidP="0075235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722.570</w:t>
            </w:r>
          </w:p>
        </w:tc>
      </w:tr>
      <w:tr w:rsidR="00504ECD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504ECD" w:rsidRPr="003D26CD" w:rsidRDefault="00011290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504ECD" w:rsidRPr="003D26CD" w:rsidRDefault="003435D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</w:t>
            </w:r>
            <w:r w:rsidR="008605D9" w:rsidRPr="003D26CD">
              <w:rPr>
                <w:rFonts w:ascii="Arial Narrow" w:hAnsi="Arial Narrow"/>
              </w:rPr>
              <w:t xml:space="preserve"> prihoda od nefinancijske imovine O</w:t>
            </w:r>
            <w:r w:rsidR="00AC7868" w:rsidRPr="003D26CD">
              <w:rPr>
                <w:rFonts w:ascii="Arial Narrow" w:hAnsi="Arial Narrow"/>
              </w:rPr>
              <w:t>dluka o pre</w:t>
            </w:r>
            <w:r w:rsidR="009B4228">
              <w:rPr>
                <w:rFonts w:ascii="Arial Narrow" w:hAnsi="Arial Narrow"/>
              </w:rPr>
              <w:t>raspodjeli viška 2018.</w:t>
            </w:r>
            <w:r w:rsidR="008605D9" w:rsidRPr="003D26CD">
              <w:rPr>
                <w:rFonts w:ascii="Arial Narrow" w:hAnsi="Arial Narrow"/>
              </w:rPr>
              <w:t>.godine</w:t>
            </w:r>
            <w:r w:rsidR="00011290" w:rsidRPr="003D26CD">
              <w:rPr>
                <w:rFonts w:ascii="Arial Narrow" w:hAnsi="Arial Narrow"/>
              </w:rPr>
              <w:t xml:space="preserve"> vlastita sredstva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ECD" w:rsidRPr="003D26CD" w:rsidRDefault="00C939FB" w:rsidP="00AC786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</w:rPr>
              <w:t>4.002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ECD" w:rsidRPr="003D26CD" w:rsidRDefault="003435D0" w:rsidP="00D166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-2.242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04ECD" w:rsidRPr="003D26CD" w:rsidRDefault="00461CB8" w:rsidP="0075235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-2.242</w:t>
            </w:r>
          </w:p>
        </w:tc>
      </w:tr>
      <w:tr w:rsidR="0050405B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50405B" w:rsidRPr="003D26CD" w:rsidRDefault="00011290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50405B" w:rsidRPr="003D26CD" w:rsidRDefault="008B74B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 </w:t>
            </w:r>
            <w:r w:rsidR="0050405B" w:rsidRPr="003D26CD">
              <w:rPr>
                <w:rFonts w:ascii="Arial Narrow" w:hAnsi="Arial Narrow"/>
              </w:rPr>
              <w:t>Manjak priho</w:t>
            </w:r>
            <w:r w:rsidR="00461CB8" w:rsidRPr="003D26CD">
              <w:rPr>
                <w:rFonts w:ascii="Arial Narrow" w:hAnsi="Arial Narrow"/>
              </w:rPr>
              <w:t>da od nefinancijske imovine EU sredstva</w:t>
            </w:r>
            <w:r w:rsidR="001C6C39">
              <w:rPr>
                <w:rFonts w:ascii="Arial Narrow" w:hAnsi="Arial Narrow"/>
              </w:rPr>
              <w:t>/korigirani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05B" w:rsidRPr="003D26CD" w:rsidRDefault="00461CB8" w:rsidP="00B729A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4228">
              <w:rPr>
                <w:rFonts w:ascii="Arial Narrow" w:hAnsi="Arial Narrow"/>
                <w:color w:val="FF0000"/>
              </w:rPr>
              <w:t>-47.222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05B" w:rsidRPr="003D26CD" w:rsidRDefault="00461CB8" w:rsidP="00D1661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-585.718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0405B" w:rsidRPr="003D26CD" w:rsidRDefault="00461CB8" w:rsidP="00D1661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-632.940</w:t>
            </w:r>
          </w:p>
        </w:tc>
      </w:tr>
      <w:tr w:rsidR="00461CB8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461CB8" w:rsidRPr="003D26CD" w:rsidRDefault="00461CB8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461CB8" w:rsidRPr="003D26CD" w:rsidRDefault="00461CB8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 prihoda od nefinancijske imovine MRRFEU</w:t>
            </w:r>
            <w:r w:rsidR="001C6C39">
              <w:rPr>
                <w:rFonts w:ascii="Arial Narrow" w:hAnsi="Arial Narrow"/>
              </w:rPr>
              <w:t>/korigirani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461CB8" w:rsidRPr="003D26CD" w:rsidRDefault="00C668BF" w:rsidP="00B729A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B4228">
              <w:rPr>
                <w:rFonts w:ascii="Arial Narrow" w:hAnsi="Arial Narrow"/>
                <w:color w:val="FF0000"/>
              </w:rPr>
              <w:t>-5.000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461CB8" w:rsidRPr="003D26CD" w:rsidRDefault="00C668BF" w:rsidP="00D166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-894.272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461CB8" w:rsidRPr="003D26CD" w:rsidRDefault="00C668BF" w:rsidP="00D166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-899.272</w:t>
            </w:r>
          </w:p>
        </w:tc>
      </w:tr>
      <w:tr w:rsidR="00011290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011290" w:rsidRPr="003D26CD" w:rsidRDefault="00011290" w:rsidP="00B21DD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922</w:t>
            </w: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011290" w:rsidRPr="003D26CD" w:rsidRDefault="00011290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Manjak priho</w:t>
            </w:r>
            <w:r w:rsidR="00C668BF" w:rsidRPr="003D26CD">
              <w:rPr>
                <w:rFonts w:ascii="Arial Narrow" w:hAnsi="Arial Narrow"/>
                <w:b/>
              </w:rPr>
              <w:t>da od nefinancijske imovine 2018</w:t>
            </w:r>
            <w:r w:rsidRPr="003D26CD">
              <w:rPr>
                <w:rFonts w:ascii="Arial Narrow" w:hAnsi="Arial Narrow"/>
                <w:b/>
              </w:rPr>
              <w:t>. godina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011290" w:rsidRPr="003D26CD" w:rsidRDefault="008B74B7" w:rsidP="008B55F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  <w:r w:rsidR="008B55F4" w:rsidRPr="003D26CD">
              <w:rPr>
                <w:rFonts w:ascii="Arial Narrow" w:hAnsi="Arial Narrow"/>
                <w:b/>
              </w:rPr>
              <w:t>59.765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011290" w:rsidRPr="003D26CD" w:rsidRDefault="002F2669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-752.119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011290" w:rsidRPr="003D26CD" w:rsidRDefault="008B55F4" w:rsidP="00C668B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-811.88</w:t>
            </w:r>
            <w:r w:rsidR="003A7F54" w:rsidRPr="003D26CD">
              <w:rPr>
                <w:rFonts w:ascii="Arial Narrow" w:hAnsi="Arial Narrow"/>
                <w:b/>
              </w:rPr>
              <w:t>4</w:t>
            </w:r>
          </w:p>
        </w:tc>
      </w:tr>
      <w:tr w:rsidR="00011290" w:rsidRPr="003D26CD" w:rsidTr="007B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011290" w:rsidRPr="003D26CD" w:rsidRDefault="00011290" w:rsidP="00B21DD6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011290" w:rsidRPr="003D26CD" w:rsidRDefault="0001129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011290" w:rsidRPr="003D26CD" w:rsidRDefault="00011290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011290" w:rsidRPr="003D26CD" w:rsidRDefault="00011290" w:rsidP="00D166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011290" w:rsidRPr="003D26CD" w:rsidRDefault="00011290" w:rsidP="00D166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50405B" w:rsidRPr="003D26CD" w:rsidTr="007B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50405B" w:rsidRPr="003D26CD" w:rsidRDefault="0050405B" w:rsidP="00B21DD6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50405B" w:rsidRPr="003D26CD" w:rsidRDefault="007B03A4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VIŠAK/MANJAK PRIHODA 2019</w:t>
            </w:r>
            <w:r w:rsidR="0050405B" w:rsidRPr="003D26CD">
              <w:rPr>
                <w:rFonts w:ascii="Arial Narrow" w:hAnsi="Arial Narrow"/>
                <w:b/>
              </w:rPr>
              <w:t>. PRENOSIV U SLJEDEĆE RAZDOBLJE</w:t>
            </w:r>
          </w:p>
        </w:tc>
        <w:tc>
          <w:tcPr>
            <w:tcW w:w="63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05B" w:rsidRPr="003D26CD" w:rsidRDefault="007B03A4" w:rsidP="007B03A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-129.667</w:t>
            </w:r>
          </w:p>
        </w:tc>
        <w:tc>
          <w:tcPr>
            <w:tcW w:w="75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0405B" w:rsidRPr="003D26CD" w:rsidRDefault="007B03A4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  <w:r w:rsidR="002F2669" w:rsidRPr="003D26CD">
              <w:rPr>
                <w:rFonts w:ascii="Arial Narrow" w:hAnsi="Arial Narrow"/>
                <w:b/>
              </w:rPr>
              <w:t>675.919</w:t>
            </w:r>
          </w:p>
        </w:tc>
        <w:tc>
          <w:tcPr>
            <w:tcW w:w="70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0405B" w:rsidRPr="003D26CD" w:rsidRDefault="00426B3E" w:rsidP="007B03A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  <w:r w:rsidR="007B03A4" w:rsidRPr="003D26CD">
              <w:rPr>
                <w:rFonts w:ascii="Arial Narrow" w:hAnsi="Arial Narrow"/>
                <w:b/>
              </w:rPr>
              <w:t>805.586</w:t>
            </w:r>
          </w:p>
        </w:tc>
      </w:tr>
      <w:tr w:rsidR="0067262E" w:rsidRPr="003D26CD" w:rsidTr="0075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pct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7262E" w:rsidRPr="003D26CD" w:rsidRDefault="0067262E" w:rsidP="00B21DD6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Poslovni rezultat/</w:t>
            </w:r>
            <w:r w:rsidR="00D52FFE" w:rsidRPr="003D26CD">
              <w:rPr>
                <w:rFonts w:ascii="Arial Narrow" w:eastAsiaTheme="minorEastAsia" w:hAnsi="Arial Narrow"/>
                <w:b/>
              </w:rPr>
              <w:t>višak prihoda Poslovanja 2017</w:t>
            </w:r>
            <w:r w:rsidRPr="003D26CD">
              <w:rPr>
                <w:rFonts w:ascii="Arial Narrow" w:eastAsiaTheme="minorEastAsia" w:hAnsi="Arial Narrow"/>
                <w:b/>
              </w:rPr>
              <w:t>. godine</w:t>
            </w:r>
          </w:p>
          <w:p w:rsidR="0067262E" w:rsidRPr="003D26CD" w:rsidRDefault="00DF380B" w:rsidP="00B21DD6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Iskazan u  PR-RAS-u ( AOP 636</w:t>
            </w:r>
            <w:r w:rsidR="0067262E" w:rsidRPr="003D26CD">
              <w:rPr>
                <w:rFonts w:ascii="Arial Narrow" w:eastAsiaTheme="minorEastAsia" w:hAnsi="Arial Narrow"/>
                <w:b/>
              </w:rPr>
              <w:t xml:space="preserve">) i </w:t>
            </w:r>
            <w:r w:rsidRPr="003D26CD">
              <w:rPr>
                <w:rFonts w:ascii="Arial Narrow" w:eastAsiaTheme="minorEastAsia" w:hAnsi="Arial Narrow"/>
                <w:b/>
              </w:rPr>
              <w:t>Bilanci( AOP 236</w:t>
            </w:r>
            <w:r w:rsidR="0067262E" w:rsidRPr="003D26CD"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707" w:type="pct"/>
            <w:vAlign w:val="center"/>
          </w:tcPr>
          <w:p w:rsidR="0067262E" w:rsidRPr="003D26CD" w:rsidRDefault="007B03A4" w:rsidP="00B21DD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-805.586</w:t>
            </w:r>
          </w:p>
        </w:tc>
      </w:tr>
    </w:tbl>
    <w:p w:rsidR="0090640C" w:rsidRPr="003D26CD" w:rsidRDefault="009B4228" w:rsidP="0090640C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Škola je za 2020</w:t>
      </w:r>
      <w:r w:rsidR="0090640C" w:rsidRPr="003D26CD">
        <w:rPr>
          <w:rFonts w:ascii="Arial Narrow" w:hAnsi="Arial Narrow"/>
        </w:rPr>
        <w:t>. godinu iskazala manjak prihoda poslovanja zbog modificiranog načela nastanka događaja. Do 2014. godine korisnici su priznavali prihode 2014. godine koje su dobili od nadležne jedinice lokalne samouprave u 2015. godini za podmirenje obaveza po rashodima koji se financiraju iz pomoći izravnanja. To odst</w:t>
      </w:r>
      <w:r w:rsidR="0048706D" w:rsidRPr="003D26CD">
        <w:rPr>
          <w:rFonts w:ascii="Arial Narrow" w:hAnsi="Arial Narrow"/>
        </w:rPr>
        <w:t xml:space="preserve">upanje se više ne promjenjuje od </w:t>
      </w:r>
      <w:r w:rsidR="00585504" w:rsidRPr="003D26CD">
        <w:rPr>
          <w:rFonts w:ascii="Arial Narrow" w:hAnsi="Arial Narrow"/>
        </w:rPr>
        <w:t>20</w:t>
      </w:r>
      <w:r>
        <w:rPr>
          <w:rFonts w:ascii="Arial Narrow" w:hAnsi="Arial Narrow"/>
        </w:rPr>
        <w:t>15. g</w:t>
      </w:r>
      <w:r w:rsidR="00890F4D">
        <w:rPr>
          <w:rFonts w:ascii="Arial Narrow" w:hAnsi="Arial Narrow"/>
        </w:rPr>
        <w:t>odin</w:t>
      </w:r>
      <w:r>
        <w:rPr>
          <w:rFonts w:ascii="Arial Narrow" w:hAnsi="Arial Narrow"/>
        </w:rPr>
        <w:t>e.</w:t>
      </w:r>
      <w:r w:rsidR="00585504" w:rsidRPr="003D26CD">
        <w:rPr>
          <w:rFonts w:ascii="Arial Narrow" w:hAnsi="Arial Narrow"/>
        </w:rPr>
        <w:t xml:space="preserve"> Š</w:t>
      </w:r>
      <w:r w:rsidR="0090640C" w:rsidRPr="003D26CD">
        <w:rPr>
          <w:rFonts w:ascii="Arial Narrow" w:hAnsi="Arial Narrow"/>
        </w:rPr>
        <w:t>kola je kao proračunski korisnik iskazala</w:t>
      </w:r>
      <w:r w:rsidR="00391576" w:rsidRPr="003D26CD">
        <w:rPr>
          <w:rFonts w:ascii="Arial Narrow" w:hAnsi="Arial Narrow"/>
        </w:rPr>
        <w:t xml:space="preserve"> rashode i obveza nastale u 2019</w:t>
      </w:r>
      <w:r w:rsidR="0090640C" w:rsidRPr="003D26CD">
        <w:rPr>
          <w:rFonts w:ascii="Arial Narrow" w:hAnsi="Arial Narrow"/>
        </w:rPr>
        <w:t>. godini bez obzira  što te</w:t>
      </w:r>
      <w:r w:rsidR="00391576" w:rsidRPr="003D26CD">
        <w:rPr>
          <w:rFonts w:ascii="Arial Narrow" w:hAnsi="Arial Narrow"/>
        </w:rPr>
        <w:t xml:space="preserve"> obveze nisu i podmirene u 2019</w:t>
      </w:r>
      <w:r w:rsidR="006D6B98" w:rsidRPr="003D26CD">
        <w:rPr>
          <w:rFonts w:ascii="Arial Narrow" w:hAnsi="Arial Narrow"/>
        </w:rPr>
        <w:t>.</w:t>
      </w:r>
      <w:r w:rsidR="00391576" w:rsidRPr="003D26CD">
        <w:rPr>
          <w:rFonts w:ascii="Arial Narrow" w:hAnsi="Arial Narrow"/>
        </w:rPr>
        <w:t>godini</w:t>
      </w:r>
      <w:r w:rsidR="006D6B98" w:rsidRPr="003D26CD">
        <w:rPr>
          <w:rFonts w:ascii="Arial Narrow" w:hAnsi="Arial Narrow"/>
        </w:rPr>
        <w:t>. Zbog</w:t>
      </w:r>
      <w:r w:rsidR="0048706D" w:rsidRPr="003D26CD">
        <w:rPr>
          <w:rFonts w:ascii="Arial Narrow" w:hAnsi="Arial Narrow"/>
        </w:rPr>
        <w:t xml:space="preserve"> </w:t>
      </w:r>
      <w:r w:rsidR="006D6B98" w:rsidRPr="003D26CD">
        <w:rPr>
          <w:rFonts w:ascii="Arial Narrow" w:hAnsi="Arial Narrow"/>
        </w:rPr>
        <w:t xml:space="preserve"> </w:t>
      </w:r>
      <w:r w:rsidR="0090640C" w:rsidRPr="003D26CD">
        <w:rPr>
          <w:rFonts w:ascii="Arial Narrow" w:hAnsi="Arial Narrow"/>
        </w:rPr>
        <w:t xml:space="preserve"> modificiranog načela nastanka događaja šk</w:t>
      </w:r>
      <w:r w:rsidR="006D6B98" w:rsidRPr="003D26CD">
        <w:rPr>
          <w:rFonts w:ascii="Arial Narrow" w:hAnsi="Arial Narrow"/>
        </w:rPr>
        <w:t>ola je završila godinu s manjkom.</w:t>
      </w:r>
    </w:p>
    <w:p w:rsidR="003844CB" w:rsidRPr="003D26CD" w:rsidRDefault="003844CB" w:rsidP="0090640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Ulaskom u program energetske učinkovitosti, nastali su troškovi, a bespovratna sredstva i sredstva MRREU bit će doznačena Školi u 2020. godini. </w:t>
      </w:r>
    </w:p>
    <w:p w:rsidR="003844CB" w:rsidRPr="003D26CD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U 2017. godini škola je krenula u program energetske obnove. Županija je financirala izradu projektne dokumentacije u iznosu 55.555,55 kn ( Ugovori nisu bili sklopljeni)</w:t>
      </w:r>
    </w:p>
    <w:p w:rsidR="003844CB" w:rsidRPr="003D26CD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U 2019. godinu sklopljen je i potpisan Ugovori o sufinanciranju provedbe EU projekata ( Ministarstvo regionalnog razvoja i fondova EU)  </w:t>
      </w:r>
      <w:r w:rsidR="009B4228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a u 2018. godini  sklopljen je Ugovor o dodjeli bespovratnih sredstava za projekte koji se financiraju iz </w:t>
      </w:r>
      <w:r w:rsidR="009B4228">
        <w:rPr>
          <w:rFonts w:ascii="Arial Narrow" w:hAnsi="Arial Narrow"/>
        </w:rPr>
        <w:t>Fondova u razdoblju 2014.-2020.</w:t>
      </w:r>
      <w:r w:rsidRPr="003D26CD">
        <w:rPr>
          <w:rFonts w:ascii="Arial Narrow" w:hAnsi="Arial Narrow"/>
        </w:rPr>
        <w:t xml:space="preserve"> ( Ministarstvo graditeljstva i prostornog uređenja i Fond za zaštitu okoliša i energetsku u</w:t>
      </w:r>
      <w:r w:rsidR="009B4228">
        <w:rPr>
          <w:rFonts w:ascii="Arial Narrow" w:hAnsi="Arial Narrow"/>
        </w:rPr>
        <w:t>činkovitost) s jedne strane i  Š</w:t>
      </w:r>
      <w:r w:rsidRPr="003D26CD">
        <w:rPr>
          <w:rFonts w:ascii="Arial Narrow" w:hAnsi="Arial Narrow"/>
        </w:rPr>
        <w:t>kola s druge strane.</w:t>
      </w:r>
    </w:p>
    <w:p w:rsidR="003844CB" w:rsidRPr="003D26CD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U 2017. godini trošak izrade projektne dokumentacije je iskazan  kao manjak Županije., a isti je pokriven u 2018. godini. </w:t>
      </w:r>
    </w:p>
    <w:p w:rsidR="003844CB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Po  potpisivanju Ugovora iz kojeg je vidljivo da se iznos od 55.55</w:t>
      </w:r>
      <w:r w:rsidR="00E22F63">
        <w:rPr>
          <w:rFonts w:ascii="Arial Narrow" w:hAnsi="Arial Narrow"/>
        </w:rPr>
        <w:t>5,55 kn financira iz tri izvora ( b</w:t>
      </w:r>
      <w:r w:rsidRPr="003D26CD">
        <w:rPr>
          <w:rFonts w:ascii="Arial Narrow" w:hAnsi="Arial Narrow"/>
        </w:rPr>
        <w:t>espovratna sredstva 47.222 kn</w:t>
      </w:r>
      <w:r w:rsidR="00E22F63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,a ista su školi doznačena u 2019. godini, te 5.0</w:t>
      </w:r>
      <w:r w:rsidR="00E22F63">
        <w:rPr>
          <w:rFonts w:ascii="Arial Narrow" w:hAnsi="Arial Narrow"/>
        </w:rPr>
        <w:t>00 kn (</w:t>
      </w:r>
      <w:r w:rsidRPr="003D26CD">
        <w:rPr>
          <w:rFonts w:ascii="Arial Narrow" w:hAnsi="Arial Narrow"/>
        </w:rPr>
        <w:t>MRRFEU još nije doznačilo) napravljen je ispravak knjiženja, stvoren je manjak na 52.222 kn i obveza za povrat u Županijski Proračun.</w:t>
      </w:r>
    </w:p>
    <w:p w:rsidR="003844CB" w:rsidRPr="001F6F4B" w:rsidRDefault="0024028E" w:rsidP="001F6F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Sukladno </w:t>
      </w:r>
      <w:r w:rsidRPr="0024028E">
        <w:rPr>
          <w:rFonts w:ascii="Arial Narrow" w:hAnsi="Arial Narrow"/>
          <w:sz w:val="20"/>
          <w:szCs w:val="20"/>
        </w:rPr>
        <w:t>UPUTAMA ZA RAČUNOVODSTVENO EVIDENTIRANJE PRIHODA I RASHODA IZ EU SREDSTAVA</w:t>
      </w:r>
      <w:r w:rsidR="00FF79EB" w:rsidRPr="00FF79EB">
        <w:rPr>
          <w:rFonts w:ascii="Times New Roman" w:hAnsi="Times New Roman"/>
          <w:b/>
          <w:sz w:val="32"/>
          <w:szCs w:val="24"/>
        </w:rPr>
        <w:t xml:space="preserve"> </w:t>
      </w:r>
      <w:r w:rsidR="00FF79EB">
        <w:rPr>
          <w:rFonts w:ascii="Times New Roman" w:hAnsi="Times New Roman"/>
          <w:sz w:val="20"/>
          <w:szCs w:val="20"/>
        </w:rPr>
        <w:t>z</w:t>
      </w:r>
      <w:r w:rsidR="00FF79EB" w:rsidRPr="00FF79EB">
        <w:rPr>
          <w:rFonts w:ascii="Times New Roman" w:hAnsi="Times New Roman"/>
          <w:sz w:val="20"/>
          <w:szCs w:val="20"/>
        </w:rPr>
        <w:t>a</w:t>
      </w:r>
      <w:r w:rsidR="00FF79EB">
        <w:rPr>
          <w:rFonts w:ascii="Times New Roman" w:hAnsi="Times New Roman"/>
          <w:b/>
          <w:sz w:val="32"/>
          <w:szCs w:val="24"/>
        </w:rPr>
        <w:t xml:space="preserve"> </w:t>
      </w:r>
      <w:r w:rsidR="00FF79EB" w:rsidRPr="00C55F9E">
        <w:rPr>
          <w:rFonts w:ascii="Arial Narrow" w:hAnsi="Arial Narrow"/>
        </w:rPr>
        <w:t>škole,ministarstva, državne agencije i jedinice lokalne i područne (regionalne) samouprave  od strane Ministarstva financija Škola je knjižila troškove za EU projekte kako je u istima navedeno te je poslovni rezultat iskazan u strukturi poslovnog rezultat po Izvorima i vrstama</w:t>
      </w:r>
      <w:r w:rsidR="00FF79EB">
        <w:rPr>
          <w:rFonts w:ascii="Arial Narrow" w:hAnsi="Arial Narrow"/>
          <w:sz w:val="20"/>
          <w:szCs w:val="20"/>
        </w:rPr>
        <w:t xml:space="preserve">. </w:t>
      </w:r>
    </w:p>
    <w:p w:rsidR="009368B5" w:rsidRDefault="009B33D6" w:rsidP="0090640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lastRenderedPageBreak/>
        <w:t>Odluk</w:t>
      </w:r>
      <w:r w:rsidR="00C5580F" w:rsidRPr="003D26CD">
        <w:rPr>
          <w:rFonts w:ascii="Arial Narrow" w:hAnsi="Arial Narrow"/>
        </w:rPr>
        <w:t>om o preraspodjeli viška za 2018</w:t>
      </w:r>
      <w:r w:rsidRPr="003D26CD">
        <w:rPr>
          <w:rFonts w:ascii="Arial Narrow" w:hAnsi="Arial Narrow"/>
        </w:rPr>
        <w:t xml:space="preserve">.godinu, školski odbor je donio odluku da se iz </w:t>
      </w:r>
      <w:r w:rsidR="00C5580F" w:rsidRPr="003D26CD">
        <w:rPr>
          <w:rFonts w:ascii="Arial Narrow" w:hAnsi="Arial Narrow"/>
        </w:rPr>
        <w:t>viška prihoda poslovanja iz 2018</w:t>
      </w:r>
      <w:r w:rsidRPr="003D26CD">
        <w:rPr>
          <w:rFonts w:ascii="Arial Narrow" w:hAnsi="Arial Narrow"/>
        </w:rPr>
        <w:t>.godine pokrije manjak prihoda od nefinancijske imovine u iznosu od</w:t>
      </w:r>
      <w:r w:rsidR="00C5580F" w:rsidRPr="003D26C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 </w:t>
      </w:r>
      <w:r w:rsidR="00C5580F" w:rsidRPr="003D26CD">
        <w:rPr>
          <w:rFonts w:ascii="Arial Narrow" w:hAnsi="Arial Narrow"/>
        </w:rPr>
        <w:t>4.002</w:t>
      </w:r>
      <w:r w:rsidRPr="003D26CD">
        <w:rPr>
          <w:rFonts w:ascii="Arial Narrow" w:hAnsi="Arial Narrow"/>
        </w:rPr>
        <w:t xml:space="preserve"> kn (vlastita sredstva).</w:t>
      </w:r>
    </w:p>
    <w:p w:rsidR="005A3960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90640C" w:rsidP="005A3960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</w:rPr>
        <w:t xml:space="preserve"> </w:t>
      </w:r>
      <w:r w:rsidR="005A3960" w:rsidRPr="003D26CD">
        <w:rPr>
          <w:rFonts w:ascii="Arial Narrow" w:hAnsi="Arial Narrow"/>
          <w:b/>
        </w:rPr>
        <w:t xml:space="preserve">Bilješka uz AOP </w:t>
      </w:r>
      <w:r w:rsidR="005A3960">
        <w:rPr>
          <w:rFonts w:ascii="Arial Narrow" w:hAnsi="Arial Narrow"/>
          <w:b/>
        </w:rPr>
        <w:t>244/245</w:t>
      </w:r>
      <w:r w:rsidR="005A3960" w:rsidRPr="003D26CD">
        <w:rPr>
          <w:rFonts w:ascii="Arial Narrow" w:hAnsi="Arial Narrow"/>
          <w:b/>
        </w:rPr>
        <w:t xml:space="preserve"> -  </w:t>
      </w:r>
      <w:proofErr w:type="spellStart"/>
      <w:r w:rsidR="005A3960">
        <w:rPr>
          <w:rFonts w:ascii="Arial Narrow" w:hAnsi="Arial Narrow"/>
          <w:b/>
        </w:rPr>
        <w:t>Izvanbilančni</w:t>
      </w:r>
      <w:proofErr w:type="spellEnd"/>
      <w:r w:rsidR="005A3960">
        <w:rPr>
          <w:rFonts w:ascii="Arial Narrow" w:hAnsi="Arial Narrow"/>
          <w:b/>
        </w:rPr>
        <w:t xml:space="preserve"> zapisi (=0)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5A3960" w:rsidRPr="003D26CD" w:rsidTr="00B9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B93E45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1.1.2019.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31.12.2019.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5A3960" w:rsidRPr="003D26CD" w:rsidTr="00B9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B93E4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5A3960" w:rsidRPr="003D26CD" w:rsidTr="00B93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3D26CD" w:rsidRDefault="005A3960" w:rsidP="00B93E45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Izvanbilančni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zapisi 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243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3D26CD" w:rsidRDefault="00A5766A" w:rsidP="00A5766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0,00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A3960" w:rsidRPr="003D26CD" w:rsidTr="00B9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B93E4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991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proofErr w:type="spellStart"/>
            <w:r>
              <w:rPr>
                <w:rFonts w:ascii="Arial Narrow" w:eastAsiaTheme="minorEastAsia" w:hAnsi="Arial Narrow" w:cstheme="minorBidi"/>
                <w:color w:val="auto"/>
              </w:rPr>
              <w:t>Izvanbilančni</w:t>
            </w:r>
            <w:proofErr w:type="spellEnd"/>
            <w:r>
              <w:rPr>
                <w:rFonts w:ascii="Arial Narrow" w:eastAsiaTheme="minorEastAsia" w:hAnsi="Arial Narrow" w:cstheme="minorBidi"/>
                <w:color w:val="auto"/>
              </w:rPr>
              <w:t xml:space="preserve"> zapisi-Aktiva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5A396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244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A5766A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173.872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5A3960" w:rsidRPr="003D26CD" w:rsidTr="00B93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3D26CD" w:rsidRDefault="005A3960" w:rsidP="00B93E45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Izvanbilančni</w:t>
            </w:r>
            <w:proofErr w:type="spellEnd"/>
            <w:r>
              <w:rPr>
                <w:rFonts w:ascii="Arial Narrow" w:hAnsi="Arial Narrow"/>
              </w:rPr>
              <w:t xml:space="preserve"> zapisi-Pasiva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A5766A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173.872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B93E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</w:tbl>
    <w:p w:rsidR="0042087D" w:rsidRPr="003D26CD" w:rsidRDefault="00A5766A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MZO i CARNET prebacili su Školi informatičku opremu u vrijednosti 173.872 kn. Prema </w:t>
      </w:r>
      <w:proofErr w:type="spellStart"/>
      <w:r>
        <w:rPr>
          <w:rFonts w:ascii="Arial Narrow" w:hAnsi="Arial Narrow"/>
        </w:rPr>
        <w:t>uputstvima</w:t>
      </w:r>
      <w:proofErr w:type="spellEnd"/>
      <w:r>
        <w:rPr>
          <w:rFonts w:ascii="Arial Narrow" w:hAnsi="Arial Narrow"/>
        </w:rPr>
        <w:t xml:space="preserve">, Škola je vrijednost navedene opreme knjižila na </w:t>
      </w:r>
      <w:proofErr w:type="spellStart"/>
      <w:r>
        <w:rPr>
          <w:rFonts w:ascii="Arial Narrow" w:hAnsi="Arial Narrow"/>
        </w:rPr>
        <w:t>Izvanbilančne</w:t>
      </w:r>
      <w:proofErr w:type="spellEnd"/>
      <w:r>
        <w:rPr>
          <w:rFonts w:ascii="Arial Narrow" w:hAnsi="Arial Narrow"/>
        </w:rPr>
        <w:t xml:space="preserve"> zapise. U 2020. godini izvršit će se prijenos vlasništva i ista imovina će se uvrstiti u poslovne knjige Škole.</w:t>
      </w:r>
    </w:p>
    <w:p w:rsidR="00F13F90" w:rsidRPr="003D26CD" w:rsidRDefault="00F13F90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A36221" w:rsidRPr="003D26CD" w:rsidRDefault="000237F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ab/>
      </w:r>
      <w:r w:rsidR="00273361" w:rsidRPr="003D26CD">
        <w:rPr>
          <w:rFonts w:ascii="Arial Narrow" w:hAnsi="Arial Narrow"/>
          <w:b/>
        </w:rPr>
        <w:t>Bilješke uz izvještaj o prihodima i rashodima, primicima i izdacima</w:t>
      </w:r>
    </w:p>
    <w:p w:rsidR="00A36221" w:rsidRPr="003D26CD" w:rsidRDefault="00273361" w:rsidP="0025530A">
      <w:pPr>
        <w:spacing w:after="120"/>
        <w:ind w:left="2832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Obrazac PR-RAS</w:t>
      </w:r>
    </w:p>
    <w:p w:rsidR="00E57D4F" w:rsidRPr="003D26CD" w:rsidRDefault="00913B64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</w:t>
      </w:r>
      <w:r w:rsidR="00B60F43" w:rsidRPr="003D26CD">
        <w:rPr>
          <w:rFonts w:ascii="Arial Narrow" w:hAnsi="Arial Narrow"/>
          <w:b/>
        </w:rPr>
        <w:t xml:space="preserve">404 - </w:t>
      </w:r>
      <w:r w:rsidR="001F7DF1" w:rsidRPr="003D26CD">
        <w:rPr>
          <w:rFonts w:ascii="Arial Narrow" w:hAnsi="Arial Narrow"/>
          <w:b/>
        </w:rPr>
        <w:t>Rashodi poslovanja</w:t>
      </w:r>
      <w:r w:rsidR="009D3448" w:rsidRPr="003D26CD">
        <w:rPr>
          <w:rFonts w:ascii="Arial Narrow" w:hAnsi="Arial Narrow"/>
        </w:rPr>
        <w:tab/>
      </w:r>
    </w:p>
    <w:tbl>
      <w:tblPr>
        <w:tblStyle w:val="Srednjipopis2-Isticanje1"/>
        <w:tblW w:w="4795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13"/>
        <w:gridCol w:w="2281"/>
        <w:gridCol w:w="1558"/>
        <w:gridCol w:w="1131"/>
        <w:gridCol w:w="1555"/>
        <w:gridCol w:w="869"/>
      </w:tblGrid>
      <w:tr w:rsidR="00D840DF" w:rsidRPr="003D26CD" w:rsidTr="009E6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Razred</w:t>
            </w:r>
          </w:p>
        </w:tc>
        <w:tc>
          <w:tcPr>
            <w:tcW w:w="1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Rashodi i izdaci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CF66E7" w:rsidP="009148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2018</w:t>
            </w:r>
            <w:r w:rsidR="0091488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CF66E7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2019</w:t>
            </w:r>
            <w:r w:rsidR="00913B64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godina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</w:tr>
      <w:tr w:rsidR="00D840DF" w:rsidRPr="003D26CD" w:rsidTr="009E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poslovanja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CF66E7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5.122.201</w:t>
            </w:r>
          </w:p>
        </w:tc>
        <w:tc>
          <w:tcPr>
            <w:tcW w:w="6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CF66E7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96,6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5B7046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5.228.457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3D26CD" w:rsidRDefault="005B7046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67,4</w:t>
            </w:r>
          </w:p>
        </w:tc>
      </w:tr>
      <w:tr w:rsidR="00E57D4F" w:rsidRPr="003D26CD" w:rsidTr="009E631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280" w:type="pct"/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za nabavu nefinancijske imovine</w:t>
            </w:r>
          </w:p>
        </w:tc>
        <w:tc>
          <w:tcPr>
            <w:tcW w:w="874" w:type="pct"/>
            <w:vAlign w:val="center"/>
          </w:tcPr>
          <w:p w:rsidR="00E57D4F" w:rsidRPr="003D26CD" w:rsidRDefault="00CF66E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180.678</w:t>
            </w:r>
          </w:p>
        </w:tc>
        <w:tc>
          <w:tcPr>
            <w:tcW w:w="635" w:type="pct"/>
            <w:vAlign w:val="center"/>
          </w:tcPr>
          <w:p w:rsidR="00914885" w:rsidRPr="003D26CD" w:rsidRDefault="00CF66E7" w:rsidP="009148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3,7</w:t>
            </w:r>
          </w:p>
        </w:tc>
        <w:tc>
          <w:tcPr>
            <w:tcW w:w="873" w:type="pct"/>
            <w:vAlign w:val="center"/>
          </w:tcPr>
          <w:p w:rsidR="00E57D4F" w:rsidRPr="003D26CD" w:rsidRDefault="005B7046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2.534.400</w:t>
            </w:r>
          </w:p>
        </w:tc>
        <w:tc>
          <w:tcPr>
            <w:tcW w:w="488" w:type="pct"/>
            <w:vAlign w:val="center"/>
          </w:tcPr>
          <w:p w:rsidR="00E57D4F" w:rsidRPr="003D26CD" w:rsidRDefault="005B7046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32,6</w:t>
            </w:r>
          </w:p>
        </w:tc>
      </w:tr>
      <w:tr w:rsidR="00D840DF" w:rsidRPr="003D26CD" w:rsidTr="009E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1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Izdaci za financijsku imovinu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6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E57D4F" w:rsidRPr="003D26CD" w:rsidTr="009E6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80" w:type="pct"/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Ukupno</w:t>
            </w:r>
          </w:p>
        </w:tc>
        <w:tc>
          <w:tcPr>
            <w:tcW w:w="874" w:type="pct"/>
            <w:vAlign w:val="center"/>
          </w:tcPr>
          <w:p w:rsidR="00E57D4F" w:rsidRPr="003D26CD" w:rsidRDefault="00CF66E7" w:rsidP="000E3AC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5.302.879</w:t>
            </w:r>
          </w:p>
        </w:tc>
        <w:tc>
          <w:tcPr>
            <w:tcW w:w="635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  <w:tc>
          <w:tcPr>
            <w:tcW w:w="873" w:type="pct"/>
            <w:vAlign w:val="center"/>
          </w:tcPr>
          <w:p w:rsidR="00E57D4F" w:rsidRPr="003D26CD" w:rsidRDefault="005B7046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7.762.857</w:t>
            </w:r>
          </w:p>
        </w:tc>
        <w:tc>
          <w:tcPr>
            <w:tcW w:w="488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</w:tr>
    </w:tbl>
    <w:p w:rsidR="009113CD" w:rsidRPr="003D26CD" w:rsidRDefault="009113CD" w:rsidP="000237F1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U 2019</w:t>
      </w:r>
      <w:r w:rsidR="007A08D2" w:rsidRPr="003D26CD">
        <w:rPr>
          <w:rFonts w:ascii="Arial Narrow" w:hAnsi="Arial Narrow"/>
        </w:rPr>
        <w:t xml:space="preserve">.   rashodi poslovanja u </w:t>
      </w:r>
      <w:r w:rsidRPr="003D26CD">
        <w:rPr>
          <w:rFonts w:ascii="Arial Narrow" w:hAnsi="Arial Narrow"/>
        </w:rPr>
        <w:t xml:space="preserve"> odnosu  na ukupne troškove 2019</w:t>
      </w:r>
      <w:r w:rsidR="007A08D2" w:rsidRPr="003D26CD">
        <w:rPr>
          <w:rFonts w:ascii="Arial Narrow" w:hAnsi="Arial Narrow"/>
        </w:rPr>
        <w:t>.</w:t>
      </w:r>
      <w:r w:rsidR="001B0A12" w:rsidRPr="003D26C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 su smanjeni</w:t>
      </w:r>
      <w:r w:rsidR="000110A5" w:rsidRPr="003D26CD">
        <w:rPr>
          <w:rFonts w:ascii="Arial Narrow" w:hAnsi="Arial Narrow"/>
        </w:rPr>
        <w:t xml:space="preserve">, </w:t>
      </w:r>
      <w:r w:rsidR="009A5217" w:rsidRPr="003D26CD">
        <w:rPr>
          <w:rFonts w:ascii="Arial Narrow" w:hAnsi="Arial Narrow"/>
        </w:rPr>
        <w:t>došlo je do povećanja</w:t>
      </w:r>
      <w:r w:rsidR="00DC1AEC" w:rsidRPr="003D26CD">
        <w:rPr>
          <w:rFonts w:ascii="Arial Narrow" w:hAnsi="Arial Narrow"/>
        </w:rPr>
        <w:t xml:space="preserve"> ulagan</w:t>
      </w:r>
      <w:r w:rsidR="001B0A12" w:rsidRPr="003D26CD">
        <w:rPr>
          <w:rFonts w:ascii="Arial Narrow" w:hAnsi="Arial Narrow"/>
        </w:rPr>
        <w:t>ja u dugotrajnu imovinu.</w:t>
      </w:r>
      <w:r w:rsidRPr="003D26CD">
        <w:rPr>
          <w:rFonts w:ascii="Arial Narrow" w:hAnsi="Arial Narrow"/>
        </w:rPr>
        <w:t xml:space="preserve"> (energetska obnova). </w:t>
      </w:r>
    </w:p>
    <w:p w:rsidR="00DC078F" w:rsidRPr="003D26CD" w:rsidRDefault="009113CD" w:rsidP="000237F1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U 2019</w:t>
      </w:r>
      <w:r w:rsidR="009A5217" w:rsidRPr="003D26CD">
        <w:rPr>
          <w:rFonts w:ascii="Arial Narrow" w:hAnsi="Arial Narrow"/>
        </w:rPr>
        <w:t>. g</w:t>
      </w:r>
      <w:r w:rsidR="00DD016D" w:rsidRPr="003D26CD">
        <w:rPr>
          <w:rFonts w:ascii="Arial Narrow" w:hAnsi="Arial Narrow"/>
        </w:rPr>
        <w:t>odini u dugotraj</w:t>
      </w:r>
      <w:r w:rsidR="00BD43CC" w:rsidRPr="003D26CD">
        <w:rPr>
          <w:rFonts w:ascii="Arial Narrow" w:hAnsi="Arial Narrow"/>
        </w:rPr>
        <w:t xml:space="preserve">nu imovinu </w:t>
      </w:r>
      <w:r w:rsidRPr="003D26CD">
        <w:rPr>
          <w:rFonts w:ascii="Arial Narrow" w:hAnsi="Arial Narrow"/>
        </w:rPr>
        <w:t xml:space="preserve">( knjige-udžbenici)) </w:t>
      </w:r>
      <w:r w:rsidR="00BD43CC" w:rsidRPr="003D26CD">
        <w:rPr>
          <w:rFonts w:ascii="Arial Narrow" w:hAnsi="Arial Narrow"/>
        </w:rPr>
        <w:t>investirano je</w:t>
      </w:r>
      <w:r w:rsidR="007A08D2" w:rsidRPr="003D26C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74.020 kn i u energetsku obnovu 2.460.380 kn ( dodatno ulaganje). Program energetske obnove bit će završen u 2020. kada će se i povećati vrijednost građevinskog objekta.</w:t>
      </w:r>
    </w:p>
    <w:p w:rsidR="00DE6B21" w:rsidRPr="003D26CD" w:rsidRDefault="00DE6B21" w:rsidP="000237F1">
      <w:pPr>
        <w:spacing w:after="120"/>
        <w:rPr>
          <w:rFonts w:ascii="Arial Narrow" w:hAnsi="Arial Narrow"/>
          <w:b/>
        </w:rPr>
      </w:pPr>
    </w:p>
    <w:p w:rsidR="00035058" w:rsidRPr="003D26CD" w:rsidRDefault="00E83922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Bilješke uz AOP 634 – </w:t>
      </w:r>
      <w:r w:rsidR="00382123" w:rsidRPr="003D26CD">
        <w:rPr>
          <w:rFonts w:ascii="Arial Narrow" w:hAnsi="Arial Narrow"/>
          <w:b/>
        </w:rPr>
        <w:t>Višak/</w:t>
      </w:r>
      <w:r w:rsidRPr="003D26CD">
        <w:rPr>
          <w:rFonts w:ascii="Arial Narrow" w:hAnsi="Arial Narrow"/>
          <w:b/>
        </w:rPr>
        <w:t>Manjak prihoda i primitaka</w:t>
      </w:r>
    </w:p>
    <w:tbl>
      <w:tblPr>
        <w:tblStyle w:val="Srednjipopis2-Isticanje1"/>
        <w:tblW w:w="5382" w:type="pct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44"/>
        <w:gridCol w:w="1370"/>
        <w:gridCol w:w="1154"/>
        <w:gridCol w:w="1154"/>
        <w:gridCol w:w="1140"/>
      </w:tblGrid>
      <w:tr w:rsidR="009E09FC" w:rsidRPr="003D26CD" w:rsidTr="009E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622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9E09FC" w:rsidRPr="003D26CD" w:rsidRDefault="00415700" w:rsidP="00B776A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2015</w:t>
            </w:r>
            <w:r w:rsidR="009E09F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 godina</w:t>
            </w:r>
          </w:p>
        </w:tc>
        <w:tc>
          <w:tcPr>
            <w:tcW w:w="685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9E09FC" w:rsidRPr="003D26CD" w:rsidRDefault="00415700" w:rsidP="00B776A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2016</w:t>
            </w:r>
            <w:r w:rsidR="009E09F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 godina</w:t>
            </w:r>
          </w:p>
        </w:tc>
        <w:tc>
          <w:tcPr>
            <w:tcW w:w="57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9E09FC" w:rsidRPr="003D26CD" w:rsidRDefault="00415700" w:rsidP="00B776A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2017</w:t>
            </w:r>
            <w:r w:rsidR="009E09F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 godina</w:t>
            </w:r>
          </w:p>
        </w:tc>
        <w:tc>
          <w:tcPr>
            <w:tcW w:w="57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9E09FC" w:rsidRPr="003D26CD" w:rsidRDefault="00415700" w:rsidP="00B776A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2018</w:t>
            </w:r>
            <w:r w:rsidR="009E09F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  <w:p w:rsidR="009E09FC" w:rsidRPr="003D26CD" w:rsidRDefault="009E09FC" w:rsidP="00B776A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571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9E09FC" w:rsidRPr="003D26CD" w:rsidRDefault="00415700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2019</w:t>
            </w:r>
            <w:r w:rsidR="009E09F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  <w:p w:rsidR="009E09FC" w:rsidRPr="003D26CD" w:rsidRDefault="009E09FC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</w:tr>
      <w:tr w:rsidR="009E09FC" w:rsidRPr="003D26CD" w:rsidTr="009E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top w:val="single" w:sz="2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poslovanja</w:t>
            </w:r>
          </w:p>
        </w:tc>
        <w:tc>
          <w:tcPr>
            <w:tcW w:w="622" w:type="pct"/>
            <w:tcBorders>
              <w:top w:val="single" w:sz="2" w:space="0" w:color="4F81BD" w:themeColor="accent1"/>
            </w:tcBorders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4.775.460</w:t>
            </w:r>
          </w:p>
        </w:tc>
        <w:tc>
          <w:tcPr>
            <w:tcW w:w="685" w:type="pct"/>
            <w:tcBorders>
              <w:top w:val="single" w:sz="2" w:space="0" w:color="4F81BD" w:themeColor="accent1"/>
            </w:tcBorders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5.093.963</w:t>
            </w:r>
          </w:p>
        </w:tc>
        <w:tc>
          <w:tcPr>
            <w:tcW w:w="577" w:type="pct"/>
            <w:tcBorders>
              <w:top w:val="single" w:sz="2" w:space="0" w:color="4F81BD" w:themeColor="accent1"/>
            </w:tcBorders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5.349.369</w:t>
            </w:r>
          </w:p>
        </w:tc>
        <w:tc>
          <w:tcPr>
            <w:tcW w:w="577" w:type="pct"/>
            <w:tcBorders>
              <w:top w:val="single" w:sz="2" w:space="0" w:color="4F81BD" w:themeColor="accent1"/>
            </w:tcBorders>
          </w:tcPr>
          <w:p w:rsidR="009E09FC" w:rsidRPr="003D26CD" w:rsidRDefault="007B5881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5.343.876</w:t>
            </w:r>
          </w:p>
        </w:tc>
        <w:tc>
          <w:tcPr>
            <w:tcW w:w="571" w:type="pct"/>
            <w:tcBorders>
              <w:top w:val="single" w:sz="2" w:space="0" w:color="4F81BD" w:themeColor="accent1"/>
            </w:tcBorders>
          </w:tcPr>
          <w:p w:rsidR="009E09FC" w:rsidRPr="003D26CD" w:rsidRDefault="00667F49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7.086.938</w:t>
            </w:r>
          </w:p>
        </w:tc>
      </w:tr>
      <w:tr w:rsidR="009E09FC" w:rsidRPr="003D26CD" w:rsidTr="009E09FC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od prodaje nefinancijske imovine</w:t>
            </w:r>
          </w:p>
        </w:tc>
        <w:tc>
          <w:tcPr>
            <w:tcW w:w="622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685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9E09FC" w:rsidRPr="003D26CD" w:rsidRDefault="009E09FC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9E09FC" w:rsidRPr="003D26CD" w:rsidRDefault="009E09FC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9E09FC" w:rsidRPr="003D26CD" w:rsidTr="009E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Primici od nefinancijske</w:t>
            </w:r>
            <w:r w:rsidRPr="003D26CD">
              <w:rPr>
                <w:rFonts w:ascii="Arial Narrow" w:eastAsiaTheme="minorEastAsia" w:hAnsi="Arial Narrow"/>
              </w:rPr>
              <w:t xml:space="preserve"> imovine</w:t>
            </w:r>
          </w:p>
        </w:tc>
        <w:tc>
          <w:tcPr>
            <w:tcW w:w="622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685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9E09FC" w:rsidRPr="003D26CD" w:rsidTr="009E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lastRenderedPageBreak/>
              <w:t>Ukupni prihodi</w:t>
            </w:r>
            <w:r w:rsidRPr="003D26CD">
              <w:rPr>
                <w:rFonts w:ascii="Arial Narrow" w:eastAsiaTheme="minorEastAsia" w:hAnsi="Arial Narrow"/>
                <w:b/>
              </w:rPr>
              <w:t xml:space="preserve"> i primici</w:t>
            </w:r>
          </w:p>
        </w:tc>
        <w:tc>
          <w:tcPr>
            <w:tcW w:w="622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4.775.460</w:t>
            </w:r>
          </w:p>
        </w:tc>
        <w:tc>
          <w:tcPr>
            <w:tcW w:w="685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5.093.963</w:t>
            </w:r>
          </w:p>
        </w:tc>
        <w:tc>
          <w:tcPr>
            <w:tcW w:w="577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5.349.369</w:t>
            </w:r>
          </w:p>
        </w:tc>
        <w:tc>
          <w:tcPr>
            <w:tcW w:w="577" w:type="pct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5.343.876</w:t>
            </w:r>
          </w:p>
        </w:tc>
        <w:tc>
          <w:tcPr>
            <w:tcW w:w="571" w:type="pct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7.086.938</w:t>
            </w:r>
          </w:p>
        </w:tc>
      </w:tr>
      <w:tr w:rsidR="009E09FC" w:rsidRPr="003D26CD" w:rsidTr="009E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poslovanja</w:t>
            </w:r>
          </w:p>
        </w:tc>
        <w:tc>
          <w:tcPr>
            <w:tcW w:w="622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4.715.162</w:t>
            </w:r>
          </w:p>
        </w:tc>
        <w:tc>
          <w:tcPr>
            <w:tcW w:w="685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5.025.341</w:t>
            </w:r>
          </w:p>
        </w:tc>
        <w:tc>
          <w:tcPr>
            <w:tcW w:w="577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5.392.053</w:t>
            </w:r>
          </w:p>
        </w:tc>
        <w:tc>
          <w:tcPr>
            <w:tcW w:w="577" w:type="pct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5.122.201</w:t>
            </w:r>
          </w:p>
        </w:tc>
        <w:tc>
          <w:tcPr>
            <w:tcW w:w="571" w:type="pct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5.228.457</w:t>
            </w:r>
          </w:p>
        </w:tc>
      </w:tr>
      <w:tr w:rsidR="009E09FC" w:rsidRPr="003D26CD" w:rsidTr="009E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za nabavu nefinancijske imovine</w:t>
            </w:r>
          </w:p>
        </w:tc>
        <w:tc>
          <w:tcPr>
            <w:tcW w:w="622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101.616</w:t>
            </w:r>
          </w:p>
        </w:tc>
        <w:tc>
          <w:tcPr>
            <w:tcW w:w="685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30.858</w:t>
            </w:r>
          </w:p>
        </w:tc>
        <w:tc>
          <w:tcPr>
            <w:tcW w:w="577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92.642</w:t>
            </w:r>
          </w:p>
        </w:tc>
        <w:tc>
          <w:tcPr>
            <w:tcW w:w="577" w:type="pct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180.678</w:t>
            </w:r>
          </w:p>
        </w:tc>
        <w:tc>
          <w:tcPr>
            <w:tcW w:w="571" w:type="pct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2.534.400</w:t>
            </w:r>
          </w:p>
        </w:tc>
      </w:tr>
      <w:tr w:rsidR="009E09FC" w:rsidRPr="003D26CD" w:rsidTr="009E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Izdaci od financijske imovine</w:t>
            </w:r>
          </w:p>
        </w:tc>
        <w:tc>
          <w:tcPr>
            <w:tcW w:w="622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685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  <w:vAlign w:val="center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1" w:type="pct"/>
          </w:tcPr>
          <w:p w:rsidR="009E09FC" w:rsidRPr="003D26CD" w:rsidRDefault="009E09FC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9E09FC" w:rsidRPr="003D26CD" w:rsidTr="009E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Ukupni rashodi i izdaci</w:t>
            </w:r>
          </w:p>
        </w:tc>
        <w:tc>
          <w:tcPr>
            <w:tcW w:w="622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4.816.778</w:t>
            </w:r>
          </w:p>
        </w:tc>
        <w:tc>
          <w:tcPr>
            <w:tcW w:w="685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5.056.199</w:t>
            </w:r>
          </w:p>
        </w:tc>
        <w:tc>
          <w:tcPr>
            <w:tcW w:w="577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5.484.695</w:t>
            </w:r>
          </w:p>
        </w:tc>
        <w:tc>
          <w:tcPr>
            <w:tcW w:w="577" w:type="pct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5.302.879</w:t>
            </w:r>
          </w:p>
        </w:tc>
        <w:tc>
          <w:tcPr>
            <w:tcW w:w="571" w:type="pct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7.762.857</w:t>
            </w:r>
          </w:p>
        </w:tc>
      </w:tr>
      <w:tr w:rsidR="009E09FC" w:rsidRPr="003D26CD" w:rsidTr="009E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prihoda</w:t>
            </w:r>
          </w:p>
        </w:tc>
        <w:tc>
          <w:tcPr>
            <w:tcW w:w="622" w:type="pct"/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-41.318</w:t>
            </w:r>
          </w:p>
        </w:tc>
        <w:tc>
          <w:tcPr>
            <w:tcW w:w="685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37.764</w:t>
            </w:r>
          </w:p>
        </w:tc>
        <w:tc>
          <w:tcPr>
            <w:tcW w:w="577" w:type="pct"/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-135.326</w:t>
            </w:r>
          </w:p>
        </w:tc>
        <w:tc>
          <w:tcPr>
            <w:tcW w:w="577" w:type="pct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40.997</w:t>
            </w:r>
          </w:p>
        </w:tc>
        <w:tc>
          <w:tcPr>
            <w:tcW w:w="571" w:type="pct"/>
          </w:tcPr>
          <w:p w:rsidR="009E09FC" w:rsidRPr="003D26CD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-675.919</w:t>
            </w:r>
          </w:p>
        </w:tc>
      </w:tr>
      <w:tr w:rsidR="009E09FC" w:rsidRPr="003D26CD" w:rsidTr="009E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prethodne godine</w:t>
            </w:r>
          </w:p>
        </w:tc>
        <w:tc>
          <w:tcPr>
            <w:tcW w:w="622" w:type="pct"/>
            <w:tcBorders>
              <w:bottom w:val="single" w:sz="8" w:space="0" w:color="4F81BD" w:themeColor="accent1"/>
            </w:tcBorders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20.438</w:t>
            </w:r>
          </w:p>
        </w:tc>
        <w:tc>
          <w:tcPr>
            <w:tcW w:w="685" w:type="pct"/>
            <w:tcBorders>
              <w:bottom w:val="single" w:sz="8" w:space="0" w:color="4F81BD" w:themeColor="accent1"/>
            </w:tcBorders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-20.880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16.884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-118.442</w:t>
            </w:r>
          </w:p>
        </w:tc>
        <w:tc>
          <w:tcPr>
            <w:tcW w:w="571" w:type="pct"/>
            <w:tcBorders>
              <w:bottom w:val="single" w:sz="8" w:space="0" w:color="4F81BD" w:themeColor="accent1"/>
            </w:tcBorders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-77.445</w:t>
            </w:r>
          </w:p>
        </w:tc>
      </w:tr>
      <w:tr w:rsidR="00667F49" w:rsidRPr="003D26CD" w:rsidTr="009E0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67F49" w:rsidRPr="00740375" w:rsidRDefault="00667F49" w:rsidP="0025530A">
            <w:pPr>
              <w:spacing w:after="120"/>
              <w:jc w:val="center"/>
              <w:rPr>
                <w:rFonts w:ascii="Arial Narrow" w:hAnsi="Arial Narrow"/>
                <w:color w:val="FF0000"/>
              </w:rPr>
            </w:pPr>
            <w:r w:rsidRPr="00740375">
              <w:rPr>
                <w:rFonts w:ascii="Arial Narrow" w:hAnsi="Arial Narrow"/>
                <w:color w:val="FF0000"/>
              </w:rPr>
              <w:t>Korekcija rezultata/Energetska obnova</w:t>
            </w:r>
          </w:p>
        </w:tc>
        <w:tc>
          <w:tcPr>
            <w:tcW w:w="622" w:type="pct"/>
            <w:tcBorders>
              <w:bottom w:val="single" w:sz="8" w:space="0" w:color="4F81BD" w:themeColor="accent1"/>
            </w:tcBorders>
            <w:vAlign w:val="center"/>
          </w:tcPr>
          <w:p w:rsidR="00667F49" w:rsidRPr="00740375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bottom w:val="single" w:sz="8" w:space="0" w:color="4F81BD" w:themeColor="accent1"/>
            </w:tcBorders>
            <w:vAlign w:val="center"/>
          </w:tcPr>
          <w:p w:rsidR="00667F49" w:rsidRPr="00740375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  <w:vAlign w:val="center"/>
          </w:tcPr>
          <w:p w:rsidR="00667F49" w:rsidRPr="00740375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bottom w:val="single" w:sz="8" w:space="0" w:color="4F81BD" w:themeColor="accent1"/>
            </w:tcBorders>
          </w:tcPr>
          <w:p w:rsidR="00667F49" w:rsidRPr="00740375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571" w:type="pct"/>
            <w:tcBorders>
              <w:bottom w:val="single" w:sz="8" w:space="0" w:color="4F81BD" w:themeColor="accent1"/>
            </w:tcBorders>
          </w:tcPr>
          <w:p w:rsidR="00667F49" w:rsidRPr="00740375" w:rsidRDefault="00667F4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-52.222</w:t>
            </w:r>
          </w:p>
        </w:tc>
      </w:tr>
      <w:tr w:rsidR="009E09FC" w:rsidRPr="003D26CD" w:rsidTr="009E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9E09FC" w:rsidRPr="003D26CD" w:rsidRDefault="009E09FC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raspoloživ u sljedećem razdoblju</w:t>
            </w:r>
          </w:p>
        </w:tc>
        <w:tc>
          <w:tcPr>
            <w:tcW w:w="622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9E09FC" w:rsidRPr="003D26CD" w:rsidRDefault="007B5881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-20.880</w:t>
            </w:r>
          </w:p>
        </w:tc>
        <w:tc>
          <w:tcPr>
            <w:tcW w:w="685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16.884</w:t>
            </w:r>
          </w:p>
        </w:tc>
        <w:tc>
          <w:tcPr>
            <w:tcW w:w="57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-118.5442</w:t>
            </w:r>
          </w:p>
        </w:tc>
        <w:tc>
          <w:tcPr>
            <w:tcW w:w="57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 w:rsidRPr="003D26CD">
              <w:rPr>
                <w:rFonts w:ascii="Arial Narrow" w:hAnsi="Arial Narrow" w:cstheme="minorHAnsi"/>
                <w:sz w:val="20"/>
                <w:szCs w:val="20"/>
              </w:rPr>
              <w:t>-77.445</w:t>
            </w:r>
          </w:p>
        </w:tc>
        <w:tc>
          <w:tcPr>
            <w:tcW w:w="571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9E09FC" w:rsidRPr="003D26CD" w:rsidRDefault="00667F49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 w:rsidRPr="003D26CD">
              <w:rPr>
                <w:rFonts w:ascii="Arial Narrow" w:hAnsi="Arial Narrow" w:cstheme="minorHAnsi"/>
                <w:sz w:val="20"/>
                <w:szCs w:val="20"/>
              </w:rPr>
              <w:t>-805.586</w:t>
            </w:r>
          </w:p>
        </w:tc>
      </w:tr>
    </w:tbl>
    <w:p w:rsidR="00D81D6F" w:rsidRPr="003D26CD" w:rsidRDefault="00F13F90" w:rsidP="0025530A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Struktura iskazanog manjka raspoloživog u sljedećem razdoblju je objašnjen pod AOP-om 236.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U 2017. godini škola je krenula u program energetske obnove. Županija je financirala izradu projektne dokumentacije u iznosu 55.555,55 kn ( Ugovori nisu bili sklopljeni)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U 2019. godinu sklopljen je i potpisan Ugovori o sufinanciranju provedbe EU projekata ( Ministarstvo regionalnog razvoja i fondova EU)  </w:t>
      </w:r>
      <w:r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a u 2018. godini  sklopljen je Ugovor o dodjeli bespovratnih sredstava za projekte koji se financiraju iz </w:t>
      </w:r>
      <w:r>
        <w:rPr>
          <w:rFonts w:ascii="Arial Narrow" w:hAnsi="Arial Narrow"/>
        </w:rPr>
        <w:t>Fondova u razdoblju 2014.-2020.</w:t>
      </w:r>
      <w:r w:rsidRPr="003D26CD">
        <w:rPr>
          <w:rFonts w:ascii="Arial Narrow" w:hAnsi="Arial Narrow"/>
        </w:rPr>
        <w:t xml:space="preserve"> ( Ministarstvo graditeljstva i prostornog uređenja i Fond za zaštitu okoliša i energetsku u</w:t>
      </w:r>
      <w:r>
        <w:rPr>
          <w:rFonts w:ascii="Arial Narrow" w:hAnsi="Arial Narrow"/>
        </w:rPr>
        <w:t>činkovitost) s jedne strane i  Š</w:t>
      </w:r>
      <w:r w:rsidRPr="003D26CD">
        <w:rPr>
          <w:rFonts w:ascii="Arial Narrow" w:hAnsi="Arial Narrow"/>
        </w:rPr>
        <w:t>kola s druge strane.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U 2017. godini trošak izrade projektne dokumentacije je iskazan  kao manjak Županije., a isti je pokriven u 2018. godini. 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Po  potpisivanju Ugovora iz kojeg je vidljivo da se iznos od 55.55</w:t>
      </w:r>
      <w:r>
        <w:rPr>
          <w:rFonts w:ascii="Arial Narrow" w:hAnsi="Arial Narrow"/>
        </w:rPr>
        <w:t>5,55 kn financira iz tri izvora ( b</w:t>
      </w:r>
      <w:r w:rsidRPr="003D26CD">
        <w:rPr>
          <w:rFonts w:ascii="Arial Narrow" w:hAnsi="Arial Narrow"/>
        </w:rPr>
        <w:t>espovratna sredstva 47.222 kn</w:t>
      </w:r>
      <w:r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,a ista su školi doznačena u 2019. godini, te 5.0</w:t>
      </w:r>
      <w:r>
        <w:rPr>
          <w:rFonts w:ascii="Arial Narrow" w:hAnsi="Arial Narrow"/>
        </w:rPr>
        <w:t>00 kn (</w:t>
      </w:r>
      <w:r w:rsidRPr="003D26CD">
        <w:rPr>
          <w:rFonts w:ascii="Arial Narrow" w:hAnsi="Arial Narrow"/>
        </w:rPr>
        <w:t>MRRFEU još nije doznačilo) napravljen je ispravak knjiženja, stvoren je manjak na 52.222 kn i obveza za povrat u Županijski Proračun.</w:t>
      </w:r>
    </w:p>
    <w:p w:rsidR="00F13F90" w:rsidRPr="003D26CD" w:rsidRDefault="00F13F90" w:rsidP="0025530A">
      <w:pPr>
        <w:spacing w:after="120"/>
        <w:rPr>
          <w:rFonts w:ascii="Arial Narrow" w:hAnsi="Arial Narrow"/>
        </w:rPr>
      </w:pPr>
    </w:p>
    <w:p w:rsidR="008051E4" w:rsidRPr="003D26CD" w:rsidRDefault="008051E4" w:rsidP="0025530A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  <w:b/>
        </w:rPr>
        <w:t>Bilješke uz izvještaj o obvezama – Obrazac Obveze</w:t>
      </w:r>
    </w:p>
    <w:p w:rsidR="003D4AEC" w:rsidRPr="003D26CD" w:rsidRDefault="003D4AEC" w:rsidP="00051447">
      <w:pPr>
        <w:spacing w:after="120"/>
        <w:jc w:val="center"/>
        <w:rPr>
          <w:rFonts w:ascii="Arial Narrow" w:hAnsi="Arial Narrow"/>
          <w:b/>
        </w:rPr>
      </w:pPr>
    </w:p>
    <w:p w:rsidR="003D4AEC" w:rsidRPr="003D26CD" w:rsidRDefault="003D4AEC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Stanje nedospjelih obveza na kraju izv</w:t>
      </w:r>
      <w:r w:rsidR="00F13F90" w:rsidRPr="003D26CD">
        <w:rPr>
          <w:rFonts w:ascii="Arial Narrow" w:hAnsi="Arial Narrow"/>
          <w:b/>
        </w:rPr>
        <w:t>ještajnog razdoblja (AOP 090</w:t>
      </w:r>
      <w:r w:rsidRPr="003D26CD">
        <w:rPr>
          <w:rFonts w:ascii="Arial Narrow" w:hAnsi="Arial Narrow"/>
          <w:b/>
        </w:rPr>
        <w:t>)</w:t>
      </w:r>
    </w:p>
    <w:tbl>
      <w:tblPr>
        <w:tblStyle w:val="Srednjipopis2-Isticanje1"/>
        <w:tblW w:w="482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64"/>
        <w:gridCol w:w="3754"/>
        <w:gridCol w:w="1026"/>
        <w:gridCol w:w="2611"/>
      </w:tblGrid>
      <w:tr w:rsidR="00FB074D" w:rsidRPr="003D26CD" w:rsidTr="0020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097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B13609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2019</w:t>
            </w:r>
            <w:r w:rsidR="00FB074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</w:tr>
      <w:tr w:rsidR="00FB074D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</w:tr>
      <w:tr w:rsidR="00FB074D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C123D2">
            <w:pPr>
              <w:spacing w:after="12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Međusobne  obveze proračunskih korisnika</w:t>
            </w:r>
          </w:p>
        </w:tc>
        <w:tc>
          <w:tcPr>
            <w:tcW w:w="573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C123D2" w:rsidRPr="003D26CD" w:rsidRDefault="00C123D2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091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9F237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64.889</w:t>
            </w:r>
          </w:p>
        </w:tc>
      </w:tr>
      <w:tr w:rsidR="00824805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824805" w:rsidRPr="003D26CD" w:rsidRDefault="00824805" w:rsidP="0025530A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3D26CD" w:rsidRDefault="00824805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rashode poslovanja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3D26CD" w:rsidRDefault="00824805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092</w:t>
            </w: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824805" w:rsidRPr="003D26CD" w:rsidRDefault="00975EFC" w:rsidP="001E2EA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430.297</w:t>
            </w:r>
          </w:p>
        </w:tc>
      </w:tr>
      <w:tr w:rsidR="00FB074D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Obveze za 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zaposlene</w:t>
            </w:r>
          </w:p>
        </w:tc>
        <w:tc>
          <w:tcPr>
            <w:tcW w:w="57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3B26E9" w:rsidP="001E2E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379.400</w:t>
            </w:r>
          </w:p>
        </w:tc>
      </w:tr>
      <w:tr w:rsidR="00DE765D" w:rsidRPr="003D26CD" w:rsidTr="003B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E765D" w:rsidRPr="003D26CD" w:rsidRDefault="00DE765D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232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Obveze za rashode poslovanja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C123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DE765D" w:rsidRPr="003D26CD" w:rsidRDefault="00975EFC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50.725</w:t>
            </w:r>
          </w:p>
        </w:tc>
      </w:tr>
      <w:tr w:rsidR="003B26E9" w:rsidRPr="003D26CD" w:rsidTr="003B26E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3B26E9" w:rsidRPr="003D26CD" w:rsidRDefault="003B26E9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lastRenderedPageBreak/>
              <w:t>234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C123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B26E9" w:rsidRPr="003D26CD" w:rsidRDefault="003B26E9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172</w:t>
            </w:r>
          </w:p>
        </w:tc>
      </w:tr>
      <w:tr w:rsidR="00C123D2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C123D2" w:rsidRPr="003D26CD" w:rsidRDefault="00C123D2" w:rsidP="00C123D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096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3D26CD" w:rsidRDefault="00C123D2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nabavu nefinancijske imovine</w:t>
            </w:r>
          </w:p>
        </w:tc>
        <w:tc>
          <w:tcPr>
            <w:tcW w:w="573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3D26CD" w:rsidRDefault="009F2377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093</w:t>
            </w:r>
          </w:p>
        </w:tc>
        <w:tc>
          <w:tcPr>
            <w:tcW w:w="1458" w:type="pct"/>
            <w:tcBorders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C123D2" w:rsidRPr="003D26CD" w:rsidRDefault="009F2377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</w:p>
        </w:tc>
      </w:tr>
      <w:tr w:rsidR="008B123C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B123C" w:rsidRPr="003D26CD" w:rsidRDefault="008B123C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242</w:t>
            </w:r>
          </w:p>
        </w:tc>
        <w:tc>
          <w:tcPr>
            <w:tcW w:w="2096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A1101A" w:rsidP="008B12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nabavu dugotrajne imovine</w:t>
            </w:r>
          </w:p>
        </w:tc>
        <w:tc>
          <w:tcPr>
            <w:tcW w:w="573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8B123C" w:rsidP="009F237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9F237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</w:tbl>
    <w:p w:rsidR="009F2377" w:rsidRPr="003D26CD" w:rsidRDefault="009F2377" w:rsidP="00051447">
      <w:pPr>
        <w:spacing w:after="120"/>
        <w:rPr>
          <w:rFonts w:ascii="Arial Narrow" w:hAnsi="Arial Narrow" w:cstheme="majorBidi"/>
          <w:b/>
          <w:color w:val="000000" w:themeColor="text1"/>
        </w:rPr>
      </w:pPr>
    </w:p>
    <w:p w:rsidR="009D3448" w:rsidRPr="003D26CD" w:rsidRDefault="008435F0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 w:cstheme="majorBidi"/>
          <w:color w:val="000000" w:themeColor="text1"/>
        </w:rPr>
        <w:t>Stanje nedospjelih međusobnih obveza odnosi se na bolovanje preko 42 dana na teret HZZO</w:t>
      </w:r>
      <w:r w:rsidR="00740375">
        <w:rPr>
          <w:rFonts w:ascii="Arial Narrow" w:hAnsi="Arial Narrow" w:cstheme="majorBidi"/>
          <w:color w:val="000000" w:themeColor="text1"/>
        </w:rPr>
        <w:t xml:space="preserve"> (9.</w:t>
      </w:r>
      <w:r w:rsidR="000B33BA" w:rsidRPr="003D26CD">
        <w:rPr>
          <w:rFonts w:ascii="Arial Narrow" w:hAnsi="Arial Narrow" w:cstheme="majorBidi"/>
          <w:color w:val="000000" w:themeColor="text1"/>
        </w:rPr>
        <w:t>019</w:t>
      </w:r>
      <w:r w:rsidR="00740375" w:rsidRPr="003D26CD">
        <w:rPr>
          <w:rFonts w:ascii="Arial Narrow" w:hAnsi="Arial Narrow" w:cstheme="majorBidi"/>
          <w:color w:val="000000" w:themeColor="text1"/>
        </w:rPr>
        <w:t xml:space="preserve"> </w:t>
      </w:r>
      <w:r w:rsidR="00740375">
        <w:rPr>
          <w:rFonts w:ascii="Arial Narrow" w:hAnsi="Arial Narrow" w:cstheme="majorBidi"/>
          <w:color w:val="000000" w:themeColor="text1"/>
        </w:rPr>
        <w:t>k</w:t>
      </w:r>
      <w:r w:rsidR="000B33BA" w:rsidRPr="003D26CD">
        <w:rPr>
          <w:rFonts w:ascii="Arial Narrow" w:hAnsi="Arial Narrow" w:cstheme="majorBidi"/>
          <w:color w:val="000000" w:themeColor="text1"/>
        </w:rPr>
        <w:t>n)</w:t>
      </w:r>
      <w:r w:rsidRPr="003D26CD">
        <w:rPr>
          <w:rFonts w:ascii="Arial Narrow" w:hAnsi="Arial Narrow" w:cstheme="majorBidi"/>
          <w:color w:val="000000" w:themeColor="text1"/>
        </w:rPr>
        <w:t xml:space="preserve"> </w:t>
      </w:r>
      <w:r w:rsidR="000B33BA" w:rsidRPr="003D26CD">
        <w:rPr>
          <w:rFonts w:ascii="Arial Narrow" w:hAnsi="Arial Narrow" w:cstheme="majorBidi"/>
          <w:color w:val="000000" w:themeColor="text1"/>
        </w:rPr>
        <w:t>obveze za povrat</w:t>
      </w:r>
      <w:r w:rsidR="00B357A4" w:rsidRPr="003D26CD">
        <w:rPr>
          <w:rFonts w:ascii="Arial Narrow" w:hAnsi="Arial Narrow"/>
        </w:rPr>
        <w:t xml:space="preserve"> poreza i prireza po godišnjem obračunu</w:t>
      </w:r>
      <w:r w:rsidR="00740375">
        <w:rPr>
          <w:rFonts w:ascii="Arial Narrow" w:hAnsi="Arial Narrow"/>
        </w:rPr>
        <w:t xml:space="preserve">  (3.648 kn</w:t>
      </w:r>
      <w:r w:rsidR="000B33BA" w:rsidRPr="003D26CD">
        <w:rPr>
          <w:rFonts w:ascii="Arial Narrow" w:hAnsi="Arial Narrow"/>
        </w:rPr>
        <w:t xml:space="preserve">) </w:t>
      </w:r>
      <w:r w:rsidRPr="003D26CD">
        <w:rPr>
          <w:rFonts w:ascii="Arial Narrow" w:hAnsi="Arial Narrow"/>
        </w:rPr>
        <w:t xml:space="preserve">te obveze </w:t>
      </w:r>
      <w:r w:rsidR="000B33BA" w:rsidRPr="003D26CD">
        <w:rPr>
          <w:rFonts w:ascii="Arial Narrow" w:hAnsi="Arial Narrow"/>
        </w:rPr>
        <w:t>za povrat sred</w:t>
      </w:r>
      <w:r w:rsidRPr="003D26CD">
        <w:rPr>
          <w:rFonts w:ascii="Arial Narrow" w:hAnsi="Arial Narrow"/>
        </w:rPr>
        <w:t>s</w:t>
      </w:r>
      <w:r w:rsidR="000B33BA" w:rsidRPr="003D26CD">
        <w:rPr>
          <w:rFonts w:ascii="Arial Narrow" w:hAnsi="Arial Narrow"/>
        </w:rPr>
        <w:t>tava u</w:t>
      </w:r>
      <w:r w:rsidRPr="003D26CD">
        <w:rPr>
          <w:rFonts w:ascii="Arial Narrow" w:hAnsi="Arial Narrow"/>
        </w:rPr>
        <w:t xml:space="preserve"> Županijski proračun </w:t>
      </w:r>
      <w:r w:rsidR="000B33BA" w:rsidRPr="003D26CD">
        <w:rPr>
          <w:rFonts w:ascii="Arial Narrow" w:hAnsi="Arial Narrow"/>
        </w:rPr>
        <w:t>( Objašnjenje  vezano uz Bilješku AOP 634- Višak/manjak prihoda poslovanja  52.222 kn)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231</w:t>
      </w:r>
      <w:r w:rsidRPr="003D26CD">
        <w:rPr>
          <w:rFonts w:ascii="Arial Narrow" w:hAnsi="Arial Narrow"/>
        </w:rPr>
        <w:t>)</w:t>
      </w:r>
      <w:r w:rsidR="003D268A" w:rsidRPr="003D26CD">
        <w:rPr>
          <w:rFonts w:ascii="Arial Narrow" w:hAnsi="Arial Narrow"/>
        </w:rPr>
        <w:t xml:space="preserve"> u iznosu </w:t>
      </w:r>
      <w:r w:rsidR="003B26E9" w:rsidRPr="003D26CD">
        <w:rPr>
          <w:rFonts w:ascii="Arial Narrow" w:hAnsi="Arial Narrow"/>
        </w:rPr>
        <w:t xml:space="preserve">379.400 </w:t>
      </w:r>
      <w:r w:rsidR="003D268A" w:rsidRPr="003D26CD">
        <w:rPr>
          <w:rFonts w:ascii="Arial Narrow" w:hAnsi="Arial Narrow"/>
        </w:rPr>
        <w:t>kn</w:t>
      </w:r>
      <w:r w:rsidR="00987953" w:rsidRPr="003D26CD">
        <w:rPr>
          <w:rFonts w:ascii="Arial Narrow" w:hAnsi="Arial Narrow"/>
        </w:rPr>
        <w:t xml:space="preserve"> odnos</w:t>
      </w:r>
      <w:r w:rsidR="003B26E9" w:rsidRPr="003D26CD">
        <w:rPr>
          <w:rFonts w:ascii="Arial Narrow" w:hAnsi="Arial Narrow"/>
        </w:rPr>
        <w:t>i se na plaću 12/2019</w:t>
      </w:r>
      <w:r w:rsidRPr="003D26CD">
        <w:rPr>
          <w:rFonts w:ascii="Arial Narrow" w:hAnsi="Arial Narrow"/>
        </w:rPr>
        <w:t>.</w:t>
      </w:r>
      <w:r w:rsidR="00D4701A" w:rsidRPr="003D26CD">
        <w:rPr>
          <w:rFonts w:ascii="Arial Narrow" w:hAnsi="Arial Narrow"/>
        </w:rPr>
        <w:t xml:space="preserve"> (</w:t>
      </w:r>
      <w:r w:rsidR="003B26E9" w:rsidRPr="003D26CD">
        <w:rPr>
          <w:rFonts w:ascii="Arial Narrow" w:hAnsi="Arial Narrow"/>
        </w:rPr>
        <w:t xml:space="preserve">372.284 </w:t>
      </w:r>
      <w:r w:rsidR="00E4255A" w:rsidRPr="003D26CD">
        <w:rPr>
          <w:rFonts w:ascii="Arial Narrow" w:hAnsi="Arial Narrow"/>
        </w:rPr>
        <w:t>kn)</w:t>
      </w:r>
      <w:r w:rsidRPr="003D26CD">
        <w:rPr>
          <w:rFonts w:ascii="Arial Narrow" w:hAnsi="Arial Narrow"/>
        </w:rPr>
        <w:t>, materijalna prava 11. i 12./</w:t>
      </w:r>
      <w:r w:rsidR="003B26E9" w:rsidRPr="003D26CD">
        <w:rPr>
          <w:rFonts w:ascii="Arial Narrow" w:hAnsi="Arial Narrow"/>
        </w:rPr>
        <w:t>2019.</w:t>
      </w:r>
      <w:r w:rsidR="00E94F15">
        <w:rPr>
          <w:rFonts w:ascii="Arial Narrow" w:hAnsi="Arial Narrow"/>
        </w:rPr>
        <w:t xml:space="preserve"> (7.116 kn).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232</w:t>
      </w:r>
      <w:r w:rsidRPr="003D26CD">
        <w:rPr>
          <w:rFonts w:ascii="Arial Narrow" w:hAnsi="Arial Narrow"/>
        </w:rPr>
        <w:t>)</w:t>
      </w:r>
      <w:r w:rsidR="00740375">
        <w:rPr>
          <w:rFonts w:ascii="Arial Narrow" w:hAnsi="Arial Narrow"/>
        </w:rPr>
        <w:t xml:space="preserve"> </w:t>
      </w:r>
      <w:r w:rsidR="008855E1" w:rsidRPr="003D26CD">
        <w:rPr>
          <w:rFonts w:ascii="Arial Narrow" w:hAnsi="Arial Narrow"/>
        </w:rPr>
        <w:t xml:space="preserve"> </w:t>
      </w:r>
      <w:r w:rsidR="00E94F15">
        <w:rPr>
          <w:rFonts w:ascii="Arial Narrow" w:hAnsi="Arial Narrow"/>
        </w:rPr>
        <w:t>50.897</w:t>
      </w:r>
      <w:r w:rsidR="009E3A6C" w:rsidRPr="003D26CD">
        <w:rPr>
          <w:rFonts w:ascii="Arial Narrow" w:hAnsi="Arial Narrow"/>
        </w:rPr>
        <w:t xml:space="preserve"> </w:t>
      </w:r>
      <w:r w:rsidR="0075671C" w:rsidRPr="003D26CD">
        <w:rPr>
          <w:rFonts w:ascii="Arial Narrow" w:hAnsi="Arial Narrow"/>
        </w:rPr>
        <w:t xml:space="preserve">kn </w:t>
      </w:r>
      <w:r w:rsidRPr="003D26CD">
        <w:rPr>
          <w:rFonts w:ascii="Arial Narrow" w:hAnsi="Arial Narrow"/>
        </w:rPr>
        <w:t xml:space="preserve"> odnosi se materijalne rashode s d</w:t>
      </w:r>
      <w:r w:rsidR="00E4255A" w:rsidRPr="003D26CD">
        <w:rPr>
          <w:rFonts w:ascii="Arial Narrow" w:hAnsi="Arial Narrow"/>
        </w:rPr>
        <w:t xml:space="preserve">ospijećem do kraja siječnja </w:t>
      </w:r>
      <w:r w:rsidR="009E3A6C" w:rsidRPr="003D26CD">
        <w:rPr>
          <w:rFonts w:ascii="Arial Narrow" w:hAnsi="Arial Narrow"/>
        </w:rPr>
        <w:t>2019</w:t>
      </w:r>
      <w:r w:rsidRPr="003D26CD">
        <w:rPr>
          <w:rFonts w:ascii="Arial Narrow" w:hAnsi="Arial Narrow"/>
        </w:rPr>
        <w:t>. godine</w:t>
      </w:r>
      <w:r w:rsidR="009E3A6C" w:rsidRPr="003D26CD">
        <w:rPr>
          <w:rFonts w:ascii="Arial Narrow" w:hAnsi="Arial Narrow"/>
        </w:rPr>
        <w:t>. Od toga 1.125</w:t>
      </w:r>
      <w:r w:rsidR="00E4255A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</w:t>
      </w:r>
      <w:r w:rsidR="009E3A6C" w:rsidRPr="003D26CD">
        <w:rPr>
          <w:rFonts w:ascii="Arial Narrow" w:hAnsi="Arial Narrow"/>
        </w:rPr>
        <w:t>n je naknada za invalide 12.2019. isplaćene u siječnju 2019.,</w:t>
      </w:r>
      <w:r w:rsidR="008855E1" w:rsidRPr="003D26CD">
        <w:rPr>
          <w:rFonts w:ascii="Arial Narrow" w:hAnsi="Arial Narrow"/>
        </w:rPr>
        <w:t xml:space="preserve">  </w:t>
      </w:r>
      <w:r w:rsidR="003F3DEF" w:rsidRPr="003D26CD">
        <w:rPr>
          <w:rFonts w:ascii="Arial Narrow" w:hAnsi="Arial Narrow"/>
        </w:rPr>
        <w:t>ob</w:t>
      </w:r>
      <w:r w:rsidR="008855E1" w:rsidRPr="003D26CD">
        <w:rPr>
          <w:rFonts w:ascii="Arial Narrow" w:hAnsi="Arial Narrow"/>
        </w:rPr>
        <w:t xml:space="preserve">veze za materijalne rashode </w:t>
      </w:r>
      <w:r w:rsidR="005D7C5B" w:rsidRPr="003D26CD">
        <w:rPr>
          <w:rFonts w:ascii="Arial Narrow" w:hAnsi="Arial Narrow"/>
        </w:rPr>
        <w:t xml:space="preserve"> </w:t>
      </w:r>
      <w:r w:rsidR="00E94F15">
        <w:rPr>
          <w:rFonts w:ascii="Arial Narrow" w:hAnsi="Arial Narrow"/>
        </w:rPr>
        <w:t xml:space="preserve">36.542 </w:t>
      </w:r>
      <w:r w:rsidR="009E3A6C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8855E1" w:rsidRPr="003D26CD">
        <w:rPr>
          <w:rFonts w:ascii="Arial Narrow" w:hAnsi="Arial Narrow"/>
        </w:rPr>
        <w:t xml:space="preserve"> te</w:t>
      </w:r>
      <w:r w:rsidR="005D7C5B" w:rsidRPr="003D26CD">
        <w:rPr>
          <w:rFonts w:ascii="Arial Narrow" w:hAnsi="Arial Narrow"/>
        </w:rPr>
        <w:t xml:space="preserve"> naknada</w:t>
      </w:r>
      <w:r w:rsidR="00E4255A" w:rsidRPr="003D26CD">
        <w:rPr>
          <w:rFonts w:ascii="Arial Narrow" w:hAnsi="Arial Narrow"/>
        </w:rPr>
        <w:t xml:space="preserve"> za pr</w:t>
      </w:r>
      <w:r w:rsidR="009E3A6C" w:rsidRPr="003D26CD">
        <w:rPr>
          <w:rFonts w:ascii="Arial Narrow" w:hAnsi="Arial Narrow"/>
        </w:rPr>
        <w:t>ijevoz zaposlenika 12/2019</w:t>
      </w:r>
      <w:r w:rsidR="00313DEC" w:rsidRPr="003D26CD">
        <w:rPr>
          <w:rFonts w:ascii="Arial Narrow" w:hAnsi="Arial Narrow"/>
        </w:rPr>
        <w:t>.</w:t>
      </w:r>
      <w:r w:rsidR="008855E1" w:rsidRPr="003D26CD">
        <w:rPr>
          <w:rFonts w:ascii="Arial Narrow" w:hAnsi="Arial Narrow"/>
        </w:rPr>
        <w:t xml:space="preserve"> </w:t>
      </w:r>
      <w:r w:rsidR="009E3A6C" w:rsidRPr="003D26CD">
        <w:rPr>
          <w:rFonts w:ascii="Arial Narrow" w:hAnsi="Arial Narrow"/>
        </w:rPr>
        <w:t>12.886</w:t>
      </w:r>
      <w:r w:rsidR="00F25B95" w:rsidRPr="003D26CD">
        <w:rPr>
          <w:rFonts w:ascii="Arial Narrow" w:hAnsi="Arial Narrow"/>
        </w:rPr>
        <w:t xml:space="preserve"> kn</w:t>
      </w:r>
      <w:r w:rsidR="00E94F15">
        <w:rPr>
          <w:rFonts w:ascii="Arial Narrow" w:hAnsi="Arial Narrow"/>
        </w:rPr>
        <w:t>.</w:t>
      </w:r>
    </w:p>
    <w:p w:rsidR="003F3DEF" w:rsidRPr="003D26CD" w:rsidRDefault="009E3A6C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234</w:t>
      </w:r>
      <w:r w:rsidRPr="003D26CD">
        <w:rPr>
          <w:rFonts w:ascii="Arial Narrow" w:hAnsi="Arial Narrow"/>
        </w:rPr>
        <w:t>) odnosi se na bankarsku uslugu 12./2019</w:t>
      </w:r>
    </w:p>
    <w:p w:rsidR="00893624" w:rsidRPr="003D26CD" w:rsidRDefault="00893624" w:rsidP="00051447">
      <w:pPr>
        <w:spacing w:after="120"/>
        <w:rPr>
          <w:rFonts w:ascii="Arial Narrow" w:hAnsi="Arial Narrow"/>
        </w:rPr>
      </w:pPr>
    </w:p>
    <w:p w:rsidR="003F3DEF" w:rsidRPr="003D26CD" w:rsidRDefault="003F3DEF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Bilješke iz izvještaj  o promjenama u vrijednosti i obujmu imovine i obveza</w:t>
      </w:r>
    </w:p>
    <w:p w:rsidR="00B7374A" w:rsidRPr="003D26CD" w:rsidRDefault="00B7374A" w:rsidP="00051447">
      <w:pPr>
        <w:spacing w:after="120"/>
        <w:rPr>
          <w:rFonts w:ascii="Arial Narrow" w:hAnsi="Arial Narrow"/>
          <w:b/>
        </w:rPr>
      </w:pPr>
    </w:p>
    <w:p w:rsidR="00B7374A" w:rsidRPr="003D26CD" w:rsidRDefault="00B7374A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Promjene u vrijednosti i obujmu imovine i obveza</w:t>
      </w:r>
    </w:p>
    <w:p w:rsidR="00B7374A" w:rsidRPr="003D26CD" w:rsidRDefault="00B7374A" w:rsidP="00051447">
      <w:pPr>
        <w:spacing w:after="120"/>
        <w:rPr>
          <w:rFonts w:ascii="Arial Narrow" w:hAnsi="Arial Narrow"/>
          <w:b/>
        </w:rPr>
      </w:pPr>
    </w:p>
    <w:tbl>
      <w:tblPr>
        <w:tblStyle w:val="Srednjipopis2-Isticanje1"/>
        <w:tblW w:w="5000" w:type="pct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36"/>
        <w:gridCol w:w="2972"/>
        <w:gridCol w:w="814"/>
        <w:gridCol w:w="2133"/>
        <w:gridCol w:w="2133"/>
      </w:tblGrid>
      <w:tr w:rsidR="00B7374A" w:rsidRPr="003D26CD" w:rsidTr="00B73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097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Povećanje 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Smanjenje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7374A" w:rsidRPr="003D26CD" w:rsidTr="00B7374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91512</w:t>
            </w:r>
          </w:p>
        </w:tc>
        <w:tc>
          <w:tcPr>
            <w:tcW w:w="1600" w:type="pct"/>
            <w:vAlign w:val="center"/>
          </w:tcPr>
          <w:p w:rsidR="00B7374A" w:rsidRPr="003D26CD" w:rsidRDefault="005E7314" w:rsidP="005E731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P</w:t>
            </w:r>
            <w:r w:rsidR="00B7374A" w:rsidRPr="003D26CD">
              <w:rPr>
                <w:rFonts w:ascii="Arial Narrow" w:eastAsiaTheme="minorEastAsia" w:hAnsi="Arial Narrow"/>
              </w:rPr>
              <w:t>romjene u obujmu imovine</w:t>
            </w:r>
          </w:p>
        </w:tc>
        <w:tc>
          <w:tcPr>
            <w:tcW w:w="438" w:type="pct"/>
            <w:vAlign w:val="center"/>
          </w:tcPr>
          <w:p w:rsidR="005E7314" w:rsidRPr="003D26CD" w:rsidRDefault="005E7314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018</w:t>
            </w:r>
          </w:p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148" w:type="pct"/>
            <w:vAlign w:val="center"/>
          </w:tcPr>
          <w:p w:rsidR="00B7374A" w:rsidRPr="003D26CD" w:rsidRDefault="00893624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-</w:t>
            </w:r>
          </w:p>
        </w:tc>
        <w:tc>
          <w:tcPr>
            <w:tcW w:w="1148" w:type="pct"/>
          </w:tcPr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5E7314" w:rsidRPr="003D26CD" w:rsidRDefault="00B13609" w:rsidP="00B13609">
            <w:pPr>
              <w:tabs>
                <w:tab w:val="left" w:pos="765"/>
                <w:tab w:val="center" w:pos="958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119.673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5E7314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91512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5E7314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/>
              </w:rPr>
              <w:t>Promjene u obujmu imovine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099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5E7314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374A" w:rsidRPr="003D26CD" w:rsidRDefault="00B7374A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5E7314" w:rsidRPr="003D26CD" w:rsidRDefault="00B13609" w:rsidP="00B136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119.673</w:t>
            </w:r>
          </w:p>
        </w:tc>
      </w:tr>
    </w:tbl>
    <w:p w:rsidR="00E33FDD" w:rsidRPr="003D26CD" w:rsidRDefault="00E33FDD" w:rsidP="00E33FDD">
      <w:pPr>
        <w:spacing w:after="120"/>
        <w:ind w:firstLine="708"/>
        <w:jc w:val="right"/>
        <w:rPr>
          <w:rFonts w:ascii="Arial Narrow" w:hAnsi="Arial Narrow"/>
        </w:rPr>
      </w:pPr>
    </w:p>
    <w:p w:rsidR="001207EF" w:rsidRPr="003D26CD" w:rsidRDefault="00935B11" w:rsidP="00935B11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Na temelju točke 4. Odluke o popisu imovine o osnivanju povjerenstva (Klasa : 406-08/19/01, </w:t>
      </w:r>
      <w:proofErr w:type="spellStart"/>
      <w:r w:rsidRPr="003D26CD">
        <w:rPr>
          <w:rFonts w:ascii="Arial Narrow" w:hAnsi="Arial Narrow"/>
        </w:rPr>
        <w:t>UrBroj</w:t>
      </w:r>
      <w:proofErr w:type="spellEnd"/>
      <w:r w:rsidRPr="003D26CD">
        <w:rPr>
          <w:rFonts w:ascii="Arial Narrow" w:hAnsi="Arial Narrow"/>
        </w:rPr>
        <w:t>: 2175-16-01-19-01)</w:t>
      </w:r>
      <w:r w:rsidR="00DE1BF0" w:rsidRPr="003D26C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Povjerenstvo  zaduženo za popis</w:t>
      </w:r>
      <w:r w:rsidR="00DE1BF0" w:rsidRPr="003D26CD">
        <w:rPr>
          <w:rFonts w:ascii="Arial Narrow" w:hAnsi="Arial Narrow"/>
        </w:rPr>
        <w:t xml:space="preserve"> imovine </w:t>
      </w:r>
      <w:r w:rsidRPr="003D26CD">
        <w:rPr>
          <w:rFonts w:ascii="Arial Narrow" w:hAnsi="Arial Narrow"/>
        </w:rPr>
        <w:t xml:space="preserve"> donijelo je Izvješće</w:t>
      </w:r>
      <w:r w:rsidR="001207EF" w:rsidRPr="003D26CD">
        <w:rPr>
          <w:rFonts w:ascii="Arial Narrow" w:hAnsi="Arial Narrow"/>
        </w:rPr>
        <w:t xml:space="preserve"> i P</w:t>
      </w:r>
      <w:r w:rsidRPr="003D26CD">
        <w:rPr>
          <w:rFonts w:ascii="Arial Narrow" w:hAnsi="Arial Narrow"/>
        </w:rPr>
        <w:t xml:space="preserve">rijedlog za </w:t>
      </w:r>
      <w:r w:rsidR="001207EF" w:rsidRPr="003D26CD">
        <w:rPr>
          <w:rFonts w:ascii="Arial Narrow" w:hAnsi="Arial Narrow"/>
        </w:rPr>
        <w:t xml:space="preserve">rashodovanje udžbenika i radnih bilježnica koje je Općina otok financirala za učenike PŠ Gala u razdoblju od 2014-2017. godine. </w:t>
      </w:r>
      <w:r w:rsidRPr="003D26CD">
        <w:rPr>
          <w:rFonts w:ascii="Arial Narrow" w:hAnsi="Arial Narrow"/>
        </w:rPr>
        <w:t xml:space="preserve"> (Klasa: 406-08/20</w:t>
      </w:r>
      <w:r w:rsidR="001E5449" w:rsidRPr="003D26CD">
        <w:rPr>
          <w:rFonts w:ascii="Arial Narrow" w:hAnsi="Arial Narrow"/>
        </w:rPr>
        <w:t>-01</w:t>
      </w:r>
      <w:r w:rsidRPr="003D26CD">
        <w:rPr>
          <w:rFonts w:ascii="Arial Narrow" w:hAnsi="Arial Narrow"/>
        </w:rPr>
        <w:t>/</w:t>
      </w:r>
      <w:proofErr w:type="spellStart"/>
      <w:r w:rsidRPr="003D26CD">
        <w:rPr>
          <w:rFonts w:ascii="Arial Narrow" w:hAnsi="Arial Narrow"/>
        </w:rPr>
        <w:t>01</w:t>
      </w:r>
      <w:proofErr w:type="spellEnd"/>
      <w:r w:rsidRPr="003D26CD">
        <w:rPr>
          <w:rFonts w:ascii="Arial Narrow" w:hAnsi="Arial Narrow"/>
        </w:rPr>
        <w:t xml:space="preserve">, </w:t>
      </w:r>
      <w:proofErr w:type="spellStart"/>
      <w:r w:rsidRPr="003D26CD">
        <w:rPr>
          <w:rFonts w:ascii="Arial Narrow" w:hAnsi="Arial Narrow"/>
        </w:rPr>
        <w:t>UrBroj</w:t>
      </w:r>
      <w:proofErr w:type="spellEnd"/>
      <w:r w:rsidRPr="003D26CD">
        <w:rPr>
          <w:rFonts w:ascii="Arial Narrow" w:hAnsi="Arial Narrow"/>
        </w:rPr>
        <w:t>: 2175-16-01-20-01)</w:t>
      </w:r>
      <w:r w:rsidR="001207EF" w:rsidRPr="003D26CD">
        <w:rPr>
          <w:rFonts w:ascii="Arial Narrow" w:hAnsi="Arial Narrow"/>
        </w:rPr>
        <w:t>, a isti su bili evidentirani na imovini ( Knjige – 24211) u iznosu 119.673,32 kn. Udžbenici i radne bilježnice su zastarjele i nisu u upotrebi.</w:t>
      </w:r>
      <w:r w:rsidR="001E5449" w:rsidRPr="003D26CD">
        <w:rPr>
          <w:rFonts w:ascii="Arial Narrow" w:hAnsi="Arial Narrow"/>
        </w:rPr>
        <w:t xml:space="preserve"> Na osnovu Prijedloga Povjerenstva, ravnatelj škole donio je Odluku o rashodovanju udžbenika i radnih bilježnica i nalo</w:t>
      </w:r>
      <w:r w:rsidR="009570CB">
        <w:rPr>
          <w:rFonts w:ascii="Arial Narrow" w:hAnsi="Arial Narrow"/>
        </w:rPr>
        <w:t xml:space="preserve">g računovodstvu da iste </w:t>
      </w:r>
      <w:proofErr w:type="spellStart"/>
      <w:r w:rsidR="009570CB">
        <w:rPr>
          <w:rFonts w:ascii="Arial Narrow" w:hAnsi="Arial Narrow"/>
        </w:rPr>
        <w:t>isknjiže</w:t>
      </w:r>
      <w:bookmarkStart w:id="0" w:name="_GoBack"/>
      <w:bookmarkEnd w:id="0"/>
      <w:proofErr w:type="spellEnd"/>
      <w:r w:rsidR="001E5449" w:rsidRPr="003D26CD">
        <w:rPr>
          <w:rFonts w:ascii="Arial Narrow" w:hAnsi="Arial Narrow"/>
        </w:rPr>
        <w:t xml:space="preserve"> iz poslovnih knjiga (Klasa: 406-08/20-01/02, </w:t>
      </w:r>
      <w:proofErr w:type="spellStart"/>
      <w:r w:rsidR="001E5449" w:rsidRPr="003D26CD">
        <w:rPr>
          <w:rFonts w:ascii="Arial Narrow" w:hAnsi="Arial Narrow"/>
        </w:rPr>
        <w:t>UrBroj</w:t>
      </w:r>
      <w:proofErr w:type="spellEnd"/>
      <w:r w:rsidR="001E5449" w:rsidRPr="003D26CD">
        <w:rPr>
          <w:rFonts w:ascii="Arial Narrow" w:hAnsi="Arial Narrow"/>
        </w:rPr>
        <w:t>: 2175-16-01-20-01).</w:t>
      </w:r>
    </w:p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561FA1" w:rsidRPr="003D26CD" w:rsidRDefault="001D280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Računovođa škole:   </w:t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  <w:t>Ravnatelj škole:</w:t>
      </w:r>
    </w:p>
    <w:p w:rsidR="001D2802" w:rsidRPr="003D26CD" w:rsidRDefault="001D280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Vesna </w:t>
      </w:r>
      <w:proofErr w:type="spellStart"/>
      <w:r w:rsidRPr="003D26CD">
        <w:rPr>
          <w:rFonts w:ascii="Arial Narrow" w:hAnsi="Arial Narrow"/>
        </w:rPr>
        <w:t>Ivković</w:t>
      </w:r>
      <w:proofErr w:type="spellEnd"/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  <w:t>Tomislav Budimir</w:t>
      </w: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sectPr w:rsidR="009D3448" w:rsidRPr="003D26CD" w:rsidSect="00ED6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53" w:rsidRDefault="00E54A53" w:rsidP="009C1741">
      <w:pPr>
        <w:spacing w:after="0" w:line="240" w:lineRule="auto"/>
      </w:pPr>
      <w:r>
        <w:separator/>
      </w:r>
    </w:p>
  </w:endnote>
  <w:endnote w:type="continuationSeparator" w:id="0">
    <w:p w:rsidR="00E54A53" w:rsidRDefault="00E54A53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D8" w:rsidRDefault="000306D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EndPr/>
    <w:sdtContent>
      <w:p w:rsidR="000306D8" w:rsidRDefault="000306D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0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06D8" w:rsidRDefault="000306D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D8" w:rsidRDefault="000306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53" w:rsidRDefault="00E54A53" w:rsidP="009C1741">
      <w:pPr>
        <w:spacing w:after="0" w:line="240" w:lineRule="auto"/>
      </w:pPr>
      <w:r>
        <w:separator/>
      </w:r>
    </w:p>
  </w:footnote>
  <w:footnote w:type="continuationSeparator" w:id="0">
    <w:p w:rsidR="00E54A53" w:rsidRDefault="00E54A53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D8" w:rsidRDefault="000306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D8" w:rsidRDefault="000306D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D8" w:rsidRDefault="000306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110A5"/>
    <w:rsid w:val="00011290"/>
    <w:rsid w:val="000119F7"/>
    <w:rsid w:val="00022AF2"/>
    <w:rsid w:val="000237F1"/>
    <w:rsid w:val="00026A5B"/>
    <w:rsid w:val="000306D8"/>
    <w:rsid w:val="00031366"/>
    <w:rsid w:val="0003230B"/>
    <w:rsid w:val="00035058"/>
    <w:rsid w:val="00040530"/>
    <w:rsid w:val="00040A3E"/>
    <w:rsid w:val="00040AFA"/>
    <w:rsid w:val="00042AE4"/>
    <w:rsid w:val="0004521E"/>
    <w:rsid w:val="00045F70"/>
    <w:rsid w:val="000504CC"/>
    <w:rsid w:val="00051447"/>
    <w:rsid w:val="00057057"/>
    <w:rsid w:val="000716C6"/>
    <w:rsid w:val="0007203D"/>
    <w:rsid w:val="00072779"/>
    <w:rsid w:val="00077BBC"/>
    <w:rsid w:val="00082CB6"/>
    <w:rsid w:val="00085070"/>
    <w:rsid w:val="00086D73"/>
    <w:rsid w:val="00093705"/>
    <w:rsid w:val="00096A5E"/>
    <w:rsid w:val="000A0531"/>
    <w:rsid w:val="000B0DD5"/>
    <w:rsid w:val="000B18D2"/>
    <w:rsid w:val="000B33BA"/>
    <w:rsid w:val="000C239A"/>
    <w:rsid w:val="000C29FB"/>
    <w:rsid w:val="000C2DDB"/>
    <w:rsid w:val="000C7085"/>
    <w:rsid w:val="000D1A89"/>
    <w:rsid w:val="000D5F2D"/>
    <w:rsid w:val="000D60C6"/>
    <w:rsid w:val="000D7814"/>
    <w:rsid w:val="000E3AC8"/>
    <w:rsid w:val="000E4AE9"/>
    <w:rsid w:val="000F533F"/>
    <w:rsid w:val="0010070A"/>
    <w:rsid w:val="00114016"/>
    <w:rsid w:val="001207EF"/>
    <w:rsid w:val="001342B1"/>
    <w:rsid w:val="0013482A"/>
    <w:rsid w:val="00134D5C"/>
    <w:rsid w:val="00141D50"/>
    <w:rsid w:val="00142B8F"/>
    <w:rsid w:val="00146E82"/>
    <w:rsid w:val="00152B1A"/>
    <w:rsid w:val="00162829"/>
    <w:rsid w:val="00163B34"/>
    <w:rsid w:val="00166A92"/>
    <w:rsid w:val="001673E2"/>
    <w:rsid w:val="00176559"/>
    <w:rsid w:val="001812B0"/>
    <w:rsid w:val="0018211C"/>
    <w:rsid w:val="00182183"/>
    <w:rsid w:val="00183198"/>
    <w:rsid w:val="0018710B"/>
    <w:rsid w:val="00191188"/>
    <w:rsid w:val="00192165"/>
    <w:rsid w:val="00192796"/>
    <w:rsid w:val="00194EC0"/>
    <w:rsid w:val="001A0FA7"/>
    <w:rsid w:val="001A2527"/>
    <w:rsid w:val="001A2ED9"/>
    <w:rsid w:val="001A531E"/>
    <w:rsid w:val="001B0A12"/>
    <w:rsid w:val="001B1CA3"/>
    <w:rsid w:val="001C0F79"/>
    <w:rsid w:val="001C23D2"/>
    <w:rsid w:val="001C6C39"/>
    <w:rsid w:val="001D2802"/>
    <w:rsid w:val="001D7800"/>
    <w:rsid w:val="001E1AFC"/>
    <w:rsid w:val="001E2EA9"/>
    <w:rsid w:val="001E5449"/>
    <w:rsid w:val="001E704A"/>
    <w:rsid w:val="001F6F4B"/>
    <w:rsid w:val="001F7DF1"/>
    <w:rsid w:val="001F7EEB"/>
    <w:rsid w:val="002017C0"/>
    <w:rsid w:val="00202460"/>
    <w:rsid w:val="00202BEA"/>
    <w:rsid w:val="00203B43"/>
    <w:rsid w:val="0020474C"/>
    <w:rsid w:val="00204ABD"/>
    <w:rsid w:val="00205D29"/>
    <w:rsid w:val="00226A4A"/>
    <w:rsid w:val="00230F06"/>
    <w:rsid w:val="002310CB"/>
    <w:rsid w:val="00231B91"/>
    <w:rsid w:val="00234C31"/>
    <w:rsid w:val="00236913"/>
    <w:rsid w:val="00237CD4"/>
    <w:rsid w:val="0024028E"/>
    <w:rsid w:val="00241A08"/>
    <w:rsid w:val="00244BE0"/>
    <w:rsid w:val="00246B66"/>
    <w:rsid w:val="0025443E"/>
    <w:rsid w:val="0025530A"/>
    <w:rsid w:val="00257DC8"/>
    <w:rsid w:val="00262F43"/>
    <w:rsid w:val="00266897"/>
    <w:rsid w:val="00267209"/>
    <w:rsid w:val="002678D5"/>
    <w:rsid w:val="00273361"/>
    <w:rsid w:val="00275523"/>
    <w:rsid w:val="002802C0"/>
    <w:rsid w:val="002915CE"/>
    <w:rsid w:val="002944CA"/>
    <w:rsid w:val="002963BD"/>
    <w:rsid w:val="00297561"/>
    <w:rsid w:val="002A0860"/>
    <w:rsid w:val="002B2911"/>
    <w:rsid w:val="002C239C"/>
    <w:rsid w:val="002C76A9"/>
    <w:rsid w:val="002E444E"/>
    <w:rsid w:val="002F2669"/>
    <w:rsid w:val="002F6710"/>
    <w:rsid w:val="00302DAD"/>
    <w:rsid w:val="003034FA"/>
    <w:rsid w:val="00311AAA"/>
    <w:rsid w:val="00313DEC"/>
    <w:rsid w:val="003164DA"/>
    <w:rsid w:val="00316A8A"/>
    <w:rsid w:val="00322BBB"/>
    <w:rsid w:val="00332A2D"/>
    <w:rsid w:val="00332FC0"/>
    <w:rsid w:val="003341C3"/>
    <w:rsid w:val="00337D9E"/>
    <w:rsid w:val="003411D6"/>
    <w:rsid w:val="003435D0"/>
    <w:rsid w:val="003469AF"/>
    <w:rsid w:val="00346C0D"/>
    <w:rsid w:val="00351279"/>
    <w:rsid w:val="00382123"/>
    <w:rsid w:val="003822EF"/>
    <w:rsid w:val="003844CB"/>
    <w:rsid w:val="00391576"/>
    <w:rsid w:val="003A237A"/>
    <w:rsid w:val="003A6BED"/>
    <w:rsid w:val="003A7F54"/>
    <w:rsid w:val="003B26E9"/>
    <w:rsid w:val="003B3EE0"/>
    <w:rsid w:val="003C1896"/>
    <w:rsid w:val="003C240C"/>
    <w:rsid w:val="003C6AB8"/>
    <w:rsid w:val="003C6B67"/>
    <w:rsid w:val="003C6D40"/>
    <w:rsid w:val="003D02DE"/>
    <w:rsid w:val="003D268A"/>
    <w:rsid w:val="003D26CD"/>
    <w:rsid w:val="003D4AEC"/>
    <w:rsid w:val="003E6BB8"/>
    <w:rsid w:val="003F3DEF"/>
    <w:rsid w:val="003F424E"/>
    <w:rsid w:val="0040375B"/>
    <w:rsid w:val="00410210"/>
    <w:rsid w:val="00413F8E"/>
    <w:rsid w:val="00415700"/>
    <w:rsid w:val="004159F5"/>
    <w:rsid w:val="00416024"/>
    <w:rsid w:val="0042087D"/>
    <w:rsid w:val="00426B3E"/>
    <w:rsid w:val="004329AF"/>
    <w:rsid w:val="00436263"/>
    <w:rsid w:val="0044011C"/>
    <w:rsid w:val="004472D1"/>
    <w:rsid w:val="0045370A"/>
    <w:rsid w:val="004571AA"/>
    <w:rsid w:val="00457EDF"/>
    <w:rsid w:val="0046155E"/>
    <w:rsid w:val="00461CB8"/>
    <w:rsid w:val="00464C07"/>
    <w:rsid w:val="004662F0"/>
    <w:rsid w:val="00467469"/>
    <w:rsid w:val="00471573"/>
    <w:rsid w:val="00473111"/>
    <w:rsid w:val="00473BF7"/>
    <w:rsid w:val="00474739"/>
    <w:rsid w:val="0047790A"/>
    <w:rsid w:val="0048706D"/>
    <w:rsid w:val="00490C8D"/>
    <w:rsid w:val="004A3651"/>
    <w:rsid w:val="004A4C7B"/>
    <w:rsid w:val="004A530B"/>
    <w:rsid w:val="004B197E"/>
    <w:rsid w:val="004B1AA6"/>
    <w:rsid w:val="004B372F"/>
    <w:rsid w:val="004B5387"/>
    <w:rsid w:val="004C3471"/>
    <w:rsid w:val="004C417F"/>
    <w:rsid w:val="004C5A26"/>
    <w:rsid w:val="004D061E"/>
    <w:rsid w:val="004E0588"/>
    <w:rsid w:val="004F052A"/>
    <w:rsid w:val="0050405B"/>
    <w:rsid w:val="00504ECD"/>
    <w:rsid w:val="00504F41"/>
    <w:rsid w:val="00507DEB"/>
    <w:rsid w:val="00514B7D"/>
    <w:rsid w:val="00522B4C"/>
    <w:rsid w:val="00522C10"/>
    <w:rsid w:val="00523876"/>
    <w:rsid w:val="00525229"/>
    <w:rsid w:val="0052650B"/>
    <w:rsid w:val="005268A6"/>
    <w:rsid w:val="00534573"/>
    <w:rsid w:val="00534834"/>
    <w:rsid w:val="00536F37"/>
    <w:rsid w:val="00542225"/>
    <w:rsid w:val="00561FA1"/>
    <w:rsid w:val="00576695"/>
    <w:rsid w:val="00576F28"/>
    <w:rsid w:val="00585504"/>
    <w:rsid w:val="00594598"/>
    <w:rsid w:val="005966D2"/>
    <w:rsid w:val="005A3221"/>
    <w:rsid w:val="005A3960"/>
    <w:rsid w:val="005B7046"/>
    <w:rsid w:val="005C3A92"/>
    <w:rsid w:val="005C4AB0"/>
    <w:rsid w:val="005C60E6"/>
    <w:rsid w:val="005C7A75"/>
    <w:rsid w:val="005C7C32"/>
    <w:rsid w:val="005D29CD"/>
    <w:rsid w:val="005D57D1"/>
    <w:rsid w:val="005D7C5B"/>
    <w:rsid w:val="005E067E"/>
    <w:rsid w:val="005E7314"/>
    <w:rsid w:val="005F0028"/>
    <w:rsid w:val="005F5408"/>
    <w:rsid w:val="00607AFC"/>
    <w:rsid w:val="00611232"/>
    <w:rsid w:val="00611511"/>
    <w:rsid w:val="00614659"/>
    <w:rsid w:val="006158F5"/>
    <w:rsid w:val="00623521"/>
    <w:rsid w:val="006263A3"/>
    <w:rsid w:val="00627574"/>
    <w:rsid w:val="00630695"/>
    <w:rsid w:val="00637BFB"/>
    <w:rsid w:val="00642273"/>
    <w:rsid w:val="00643243"/>
    <w:rsid w:val="00647423"/>
    <w:rsid w:val="00651039"/>
    <w:rsid w:val="00651348"/>
    <w:rsid w:val="0065644C"/>
    <w:rsid w:val="00657628"/>
    <w:rsid w:val="006607A5"/>
    <w:rsid w:val="006612E2"/>
    <w:rsid w:val="00665BEB"/>
    <w:rsid w:val="006662EE"/>
    <w:rsid w:val="00667F49"/>
    <w:rsid w:val="0067262E"/>
    <w:rsid w:val="0067438C"/>
    <w:rsid w:val="00676596"/>
    <w:rsid w:val="006808FC"/>
    <w:rsid w:val="00681AD2"/>
    <w:rsid w:val="00685FF4"/>
    <w:rsid w:val="006875F2"/>
    <w:rsid w:val="006917E7"/>
    <w:rsid w:val="00695B44"/>
    <w:rsid w:val="00697F45"/>
    <w:rsid w:val="00697F5E"/>
    <w:rsid w:val="006A104F"/>
    <w:rsid w:val="006A14C3"/>
    <w:rsid w:val="006A70B3"/>
    <w:rsid w:val="006A75D9"/>
    <w:rsid w:val="006A7A65"/>
    <w:rsid w:val="006A7DC2"/>
    <w:rsid w:val="006B0B55"/>
    <w:rsid w:val="006B28CA"/>
    <w:rsid w:val="006B6112"/>
    <w:rsid w:val="006B7174"/>
    <w:rsid w:val="006D53A5"/>
    <w:rsid w:val="006D6B98"/>
    <w:rsid w:val="006E1266"/>
    <w:rsid w:val="006F336A"/>
    <w:rsid w:val="006F42C4"/>
    <w:rsid w:val="00702802"/>
    <w:rsid w:val="00715842"/>
    <w:rsid w:val="007169FB"/>
    <w:rsid w:val="00716A33"/>
    <w:rsid w:val="00722B4A"/>
    <w:rsid w:val="00724D75"/>
    <w:rsid w:val="00732028"/>
    <w:rsid w:val="00740375"/>
    <w:rsid w:val="007435F7"/>
    <w:rsid w:val="00744378"/>
    <w:rsid w:val="00752356"/>
    <w:rsid w:val="0075665F"/>
    <w:rsid w:val="0075671C"/>
    <w:rsid w:val="00776FA1"/>
    <w:rsid w:val="007853AC"/>
    <w:rsid w:val="007911F3"/>
    <w:rsid w:val="00792E7C"/>
    <w:rsid w:val="007A08D2"/>
    <w:rsid w:val="007A3D74"/>
    <w:rsid w:val="007A3EA7"/>
    <w:rsid w:val="007A46AA"/>
    <w:rsid w:val="007B03A4"/>
    <w:rsid w:val="007B5881"/>
    <w:rsid w:val="007B75FB"/>
    <w:rsid w:val="007C4349"/>
    <w:rsid w:val="007D2D4D"/>
    <w:rsid w:val="007D35EE"/>
    <w:rsid w:val="007D4D4B"/>
    <w:rsid w:val="007E2143"/>
    <w:rsid w:val="007F1128"/>
    <w:rsid w:val="007F399B"/>
    <w:rsid w:val="007F4DED"/>
    <w:rsid w:val="007F57BB"/>
    <w:rsid w:val="007F7BD7"/>
    <w:rsid w:val="00800CEB"/>
    <w:rsid w:val="008051E4"/>
    <w:rsid w:val="0080523C"/>
    <w:rsid w:val="0080596C"/>
    <w:rsid w:val="008078E2"/>
    <w:rsid w:val="00813337"/>
    <w:rsid w:val="00821467"/>
    <w:rsid w:val="00824805"/>
    <w:rsid w:val="00824C63"/>
    <w:rsid w:val="00826A9F"/>
    <w:rsid w:val="00833F6E"/>
    <w:rsid w:val="00834726"/>
    <w:rsid w:val="00835AF5"/>
    <w:rsid w:val="008415A5"/>
    <w:rsid w:val="008435F0"/>
    <w:rsid w:val="008455A2"/>
    <w:rsid w:val="008605D9"/>
    <w:rsid w:val="00863CAA"/>
    <w:rsid w:val="008651D3"/>
    <w:rsid w:val="0088264A"/>
    <w:rsid w:val="008855E1"/>
    <w:rsid w:val="00890F4D"/>
    <w:rsid w:val="0089128D"/>
    <w:rsid w:val="00893624"/>
    <w:rsid w:val="008A3DE9"/>
    <w:rsid w:val="008A5210"/>
    <w:rsid w:val="008A7ABD"/>
    <w:rsid w:val="008B123C"/>
    <w:rsid w:val="008B16A0"/>
    <w:rsid w:val="008B2EB1"/>
    <w:rsid w:val="008B37E7"/>
    <w:rsid w:val="008B3C91"/>
    <w:rsid w:val="008B55F4"/>
    <w:rsid w:val="008B74B7"/>
    <w:rsid w:val="008C0A0F"/>
    <w:rsid w:val="008C0A19"/>
    <w:rsid w:val="008C132A"/>
    <w:rsid w:val="008D096C"/>
    <w:rsid w:val="008D110B"/>
    <w:rsid w:val="008D168A"/>
    <w:rsid w:val="008D3BD0"/>
    <w:rsid w:val="008D4703"/>
    <w:rsid w:val="008D543C"/>
    <w:rsid w:val="008E0AEB"/>
    <w:rsid w:val="008E6000"/>
    <w:rsid w:val="008E6140"/>
    <w:rsid w:val="008F30AA"/>
    <w:rsid w:val="008F3759"/>
    <w:rsid w:val="008F4878"/>
    <w:rsid w:val="0090640C"/>
    <w:rsid w:val="009113CD"/>
    <w:rsid w:val="00913B64"/>
    <w:rsid w:val="00914885"/>
    <w:rsid w:val="009207F0"/>
    <w:rsid w:val="00921D6E"/>
    <w:rsid w:val="00922FEE"/>
    <w:rsid w:val="00923BF0"/>
    <w:rsid w:val="00925F51"/>
    <w:rsid w:val="00933E61"/>
    <w:rsid w:val="00934020"/>
    <w:rsid w:val="00935B11"/>
    <w:rsid w:val="009368B5"/>
    <w:rsid w:val="00956C40"/>
    <w:rsid w:val="009570CB"/>
    <w:rsid w:val="009620AB"/>
    <w:rsid w:val="00972A6E"/>
    <w:rsid w:val="00975EFC"/>
    <w:rsid w:val="0097791A"/>
    <w:rsid w:val="00981EAD"/>
    <w:rsid w:val="009821B6"/>
    <w:rsid w:val="00985EED"/>
    <w:rsid w:val="00987953"/>
    <w:rsid w:val="009A5217"/>
    <w:rsid w:val="009A6AA0"/>
    <w:rsid w:val="009A7002"/>
    <w:rsid w:val="009A75F8"/>
    <w:rsid w:val="009B33D6"/>
    <w:rsid w:val="009B4228"/>
    <w:rsid w:val="009B6F0E"/>
    <w:rsid w:val="009C1741"/>
    <w:rsid w:val="009D3448"/>
    <w:rsid w:val="009E09FC"/>
    <w:rsid w:val="009E0B6D"/>
    <w:rsid w:val="009E3A6C"/>
    <w:rsid w:val="009E4461"/>
    <w:rsid w:val="009E6211"/>
    <w:rsid w:val="009E631B"/>
    <w:rsid w:val="009F1993"/>
    <w:rsid w:val="009F2377"/>
    <w:rsid w:val="00A00410"/>
    <w:rsid w:val="00A00C37"/>
    <w:rsid w:val="00A01B4D"/>
    <w:rsid w:val="00A06DFB"/>
    <w:rsid w:val="00A07501"/>
    <w:rsid w:val="00A1101A"/>
    <w:rsid w:val="00A173B0"/>
    <w:rsid w:val="00A23D9E"/>
    <w:rsid w:val="00A27286"/>
    <w:rsid w:val="00A36221"/>
    <w:rsid w:val="00A37AB6"/>
    <w:rsid w:val="00A40AB0"/>
    <w:rsid w:val="00A54111"/>
    <w:rsid w:val="00A5766A"/>
    <w:rsid w:val="00A61965"/>
    <w:rsid w:val="00A626E6"/>
    <w:rsid w:val="00A648C7"/>
    <w:rsid w:val="00A67292"/>
    <w:rsid w:val="00A672DC"/>
    <w:rsid w:val="00A77F12"/>
    <w:rsid w:val="00A81759"/>
    <w:rsid w:val="00A81F32"/>
    <w:rsid w:val="00A8219B"/>
    <w:rsid w:val="00A87964"/>
    <w:rsid w:val="00A924F9"/>
    <w:rsid w:val="00AA0137"/>
    <w:rsid w:val="00AA7316"/>
    <w:rsid w:val="00AB26E3"/>
    <w:rsid w:val="00AB3A65"/>
    <w:rsid w:val="00AB45F2"/>
    <w:rsid w:val="00AC1CAA"/>
    <w:rsid w:val="00AC23C4"/>
    <w:rsid w:val="00AC6065"/>
    <w:rsid w:val="00AC7808"/>
    <w:rsid w:val="00AC7868"/>
    <w:rsid w:val="00AD3307"/>
    <w:rsid w:val="00AD3F9C"/>
    <w:rsid w:val="00AD4EA5"/>
    <w:rsid w:val="00AD7FE3"/>
    <w:rsid w:val="00AF06DF"/>
    <w:rsid w:val="00AF1A2A"/>
    <w:rsid w:val="00B01050"/>
    <w:rsid w:val="00B1243B"/>
    <w:rsid w:val="00B13609"/>
    <w:rsid w:val="00B21DD6"/>
    <w:rsid w:val="00B26B1C"/>
    <w:rsid w:val="00B34BA6"/>
    <w:rsid w:val="00B357A4"/>
    <w:rsid w:val="00B40318"/>
    <w:rsid w:val="00B520FB"/>
    <w:rsid w:val="00B529DA"/>
    <w:rsid w:val="00B60F43"/>
    <w:rsid w:val="00B71C0A"/>
    <w:rsid w:val="00B729AF"/>
    <w:rsid w:val="00B7374A"/>
    <w:rsid w:val="00B776AB"/>
    <w:rsid w:val="00B802E8"/>
    <w:rsid w:val="00B82121"/>
    <w:rsid w:val="00B85103"/>
    <w:rsid w:val="00B96424"/>
    <w:rsid w:val="00BA2A20"/>
    <w:rsid w:val="00BA3CCB"/>
    <w:rsid w:val="00BA41C3"/>
    <w:rsid w:val="00BA5271"/>
    <w:rsid w:val="00BC3AC7"/>
    <w:rsid w:val="00BC571F"/>
    <w:rsid w:val="00BC5BBF"/>
    <w:rsid w:val="00BC66BD"/>
    <w:rsid w:val="00BC671F"/>
    <w:rsid w:val="00BD43CC"/>
    <w:rsid w:val="00BD4731"/>
    <w:rsid w:val="00BD4B34"/>
    <w:rsid w:val="00BE0FBE"/>
    <w:rsid w:val="00BE27D5"/>
    <w:rsid w:val="00BE392A"/>
    <w:rsid w:val="00C05637"/>
    <w:rsid w:val="00C11DC5"/>
    <w:rsid w:val="00C123D2"/>
    <w:rsid w:val="00C20BFF"/>
    <w:rsid w:val="00C267EA"/>
    <w:rsid w:val="00C27F88"/>
    <w:rsid w:val="00C32AA2"/>
    <w:rsid w:val="00C340AE"/>
    <w:rsid w:val="00C37E2D"/>
    <w:rsid w:val="00C413E9"/>
    <w:rsid w:val="00C5580F"/>
    <w:rsid w:val="00C55F9E"/>
    <w:rsid w:val="00C608FC"/>
    <w:rsid w:val="00C60C54"/>
    <w:rsid w:val="00C60E7E"/>
    <w:rsid w:val="00C65D46"/>
    <w:rsid w:val="00C668BF"/>
    <w:rsid w:val="00C67C73"/>
    <w:rsid w:val="00C822C0"/>
    <w:rsid w:val="00C828AB"/>
    <w:rsid w:val="00C853E9"/>
    <w:rsid w:val="00C8590C"/>
    <w:rsid w:val="00C85BE4"/>
    <w:rsid w:val="00C87466"/>
    <w:rsid w:val="00C90BDB"/>
    <w:rsid w:val="00C92AA8"/>
    <w:rsid w:val="00C939FB"/>
    <w:rsid w:val="00C97E33"/>
    <w:rsid w:val="00CA0914"/>
    <w:rsid w:val="00CA1462"/>
    <w:rsid w:val="00CA424D"/>
    <w:rsid w:val="00CB1FC6"/>
    <w:rsid w:val="00CB3184"/>
    <w:rsid w:val="00CC0639"/>
    <w:rsid w:val="00CC0C65"/>
    <w:rsid w:val="00CC4845"/>
    <w:rsid w:val="00CC5D8E"/>
    <w:rsid w:val="00CC624C"/>
    <w:rsid w:val="00CC7CC7"/>
    <w:rsid w:val="00CD05F5"/>
    <w:rsid w:val="00CD4384"/>
    <w:rsid w:val="00CE186E"/>
    <w:rsid w:val="00CE64DF"/>
    <w:rsid w:val="00CF489F"/>
    <w:rsid w:val="00CF5F3E"/>
    <w:rsid w:val="00CF66E7"/>
    <w:rsid w:val="00CF7599"/>
    <w:rsid w:val="00D0720F"/>
    <w:rsid w:val="00D13C9A"/>
    <w:rsid w:val="00D16024"/>
    <w:rsid w:val="00D1661A"/>
    <w:rsid w:val="00D17296"/>
    <w:rsid w:val="00D21207"/>
    <w:rsid w:val="00D21DB8"/>
    <w:rsid w:val="00D323DD"/>
    <w:rsid w:val="00D34B44"/>
    <w:rsid w:val="00D353F2"/>
    <w:rsid w:val="00D36109"/>
    <w:rsid w:val="00D43422"/>
    <w:rsid w:val="00D4701A"/>
    <w:rsid w:val="00D470DF"/>
    <w:rsid w:val="00D51FE3"/>
    <w:rsid w:val="00D52FFE"/>
    <w:rsid w:val="00D53476"/>
    <w:rsid w:val="00D57422"/>
    <w:rsid w:val="00D64FA9"/>
    <w:rsid w:val="00D70476"/>
    <w:rsid w:val="00D776DE"/>
    <w:rsid w:val="00D77DB4"/>
    <w:rsid w:val="00D81D6F"/>
    <w:rsid w:val="00D837AD"/>
    <w:rsid w:val="00D840DF"/>
    <w:rsid w:val="00D87309"/>
    <w:rsid w:val="00D9509A"/>
    <w:rsid w:val="00D95A18"/>
    <w:rsid w:val="00DB546F"/>
    <w:rsid w:val="00DC078F"/>
    <w:rsid w:val="00DC1AEC"/>
    <w:rsid w:val="00DD016D"/>
    <w:rsid w:val="00DD1239"/>
    <w:rsid w:val="00DD2C8D"/>
    <w:rsid w:val="00DE1BF0"/>
    <w:rsid w:val="00DE6B21"/>
    <w:rsid w:val="00DE756B"/>
    <w:rsid w:val="00DE765D"/>
    <w:rsid w:val="00DF0961"/>
    <w:rsid w:val="00DF35F8"/>
    <w:rsid w:val="00DF380B"/>
    <w:rsid w:val="00DF442C"/>
    <w:rsid w:val="00E04B2B"/>
    <w:rsid w:val="00E109F3"/>
    <w:rsid w:val="00E113D3"/>
    <w:rsid w:val="00E13CC1"/>
    <w:rsid w:val="00E159EE"/>
    <w:rsid w:val="00E16A44"/>
    <w:rsid w:val="00E21A2F"/>
    <w:rsid w:val="00E21BF7"/>
    <w:rsid w:val="00E22F63"/>
    <w:rsid w:val="00E25EDE"/>
    <w:rsid w:val="00E33FDD"/>
    <w:rsid w:val="00E36A85"/>
    <w:rsid w:val="00E411A7"/>
    <w:rsid w:val="00E424CE"/>
    <w:rsid w:val="00E4255A"/>
    <w:rsid w:val="00E44933"/>
    <w:rsid w:val="00E54A53"/>
    <w:rsid w:val="00E57878"/>
    <w:rsid w:val="00E57D4F"/>
    <w:rsid w:val="00E61C97"/>
    <w:rsid w:val="00E65F57"/>
    <w:rsid w:val="00E663FB"/>
    <w:rsid w:val="00E70BE7"/>
    <w:rsid w:val="00E710E5"/>
    <w:rsid w:val="00E82DA3"/>
    <w:rsid w:val="00E83060"/>
    <w:rsid w:val="00E83922"/>
    <w:rsid w:val="00E879A8"/>
    <w:rsid w:val="00E92528"/>
    <w:rsid w:val="00E94F15"/>
    <w:rsid w:val="00E95EA7"/>
    <w:rsid w:val="00EA0EA9"/>
    <w:rsid w:val="00EA189B"/>
    <w:rsid w:val="00EB0A57"/>
    <w:rsid w:val="00ED2A3C"/>
    <w:rsid w:val="00ED5B10"/>
    <w:rsid w:val="00ED616B"/>
    <w:rsid w:val="00EE35C3"/>
    <w:rsid w:val="00EF6B47"/>
    <w:rsid w:val="00F04128"/>
    <w:rsid w:val="00F126BD"/>
    <w:rsid w:val="00F13F90"/>
    <w:rsid w:val="00F250D3"/>
    <w:rsid w:val="00F25B95"/>
    <w:rsid w:val="00F266D9"/>
    <w:rsid w:val="00F27C23"/>
    <w:rsid w:val="00F316E9"/>
    <w:rsid w:val="00F42FFF"/>
    <w:rsid w:val="00F50074"/>
    <w:rsid w:val="00F519E9"/>
    <w:rsid w:val="00F55AC1"/>
    <w:rsid w:val="00F56953"/>
    <w:rsid w:val="00F57F3F"/>
    <w:rsid w:val="00F60B52"/>
    <w:rsid w:val="00F645A6"/>
    <w:rsid w:val="00F67195"/>
    <w:rsid w:val="00F6741E"/>
    <w:rsid w:val="00F702C3"/>
    <w:rsid w:val="00F72869"/>
    <w:rsid w:val="00F76DD9"/>
    <w:rsid w:val="00F90C6B"/>
    <w:rsid w:val="00FA026B"/>
    <w:rsid w:val="00FA0D09"/>
    <w:rsid w:val="00FA0D2B"/>
    <w:rsid w:val="00FB074D"/>
    <w:rsid w:val="00FB15E1"/>
    <w:rsid w:val="00FB23A2"/>
    <w:rsid w:val="00FB4BDB"/>
    <w:rsid w:val="00FB51E8"/>
    <w:rsid w:val="00FB5378"/>
    <w:rsid w:val="00FC23B9"/>
    <w:rsid w:val="00FC332E"/>
    <w:rsid w:val="00FC5F49"/>
    <w:rsid w:val="00FC7AA5"/>
    <w:rsid w:val="00FD0911"/>
    <w:rsid w:val="00FE178F"/>
    <w:rsid w:val="00FE1D0F"/>
    <w:rsid w:val="00FE415E"/>
    <w:rsid w:val="00FE4703"/>
    <w:rsid w:val="00FF3DD8"/>
    <w:rsid w:val="00FF7312"/>
    <w:rsid w:val="00FF77A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7F1D-0B76-4B15-92F9-13A91DB9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Windows korisnik</cp:lastModifiedBy>
  <cp:revision>161</cp:revision>
  <cp:lastPrinted>2018-01-26T07:57:00Z</cp:lastPrinted>
  <dcterms:created xsi:type="dcterms:W3CDTF">2018-01-30T11:25:00Z</dcterms:created>
  <dcterms:modified xsi:type="dcterms:W3CDTF">2020-01-30T08:33:00Z</dcterms:modified>
</cp:coreProperties>
</file>