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6" w:rsidRPr="003D26CD" w:rsidRDefault="001A7234" w:rsidP="00A6729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9D3448" w:rsidRPr="003D26CD">
        <w:rPr>
          <w:rFonts w:ascii="Arial Narrow" w:hAnsi="Arial Narrow"/>
          <w:b/>
        </w:rPr>
        <w:t>REPUBLIKA HRVATSKA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OSNOVNA ŠKOLA IVANA MAŽURANIĆA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OBROVAC SINJSKI 21241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SPLITSKO-DALMATINSKA ŽUPANIJA</w:t>
      </w:r>
    </w:p>
    <w:p w:rsidR="009D3448" w:rsidRPr="00853CF8" w:rsidRDefault="009D3448" w:rsidP="00A67292">
      <w:pPr>
        <w:spacing w:after="0"/>
        <w:rPr>
          <w:rFonts w:ascii="Arial Narrow" w:hAnsi="Arial Narrow"/>
        </w:rPr>
      </w:pPr>
      <w:r w:rsidRPr="00853CF8">
        <w:rPr>
          <w:rFonts w:ascii="Arial Narrow" w:hAnsi="Arial Narrow"/>
        </w:rPr>
        <w:t>Klasa:</w:t>
      </w:r>
      <w:r w:rsidR="00BE0FBE" w:rsidRPr="00853CF8">
        <w:rPr>
          <w:rFonts w:ascii="Arial Narrow" w:hAnsi="Arial Narrow"/>
        </w:rPr>
        <w:t xml:space="preserve"> </w:t>
      </w:r>
      <w:r w:rsidR="00157111" w:rsidRPr="00853CF8">
        <w:rPr>
          <w:rFonts w:ascii="Arial Narrow" w:hAnsi="Arial Narrow"/>
        </w:rPr>
        <w:t>400-0</w:t>
      </w:r>
      <w:r w:rsidR="00853CF8" w:rsidRPr="00853CF8">
        <w:rPr>
          <w:rFonts w:ascii="Arial Narrow" w:hAnsi="Arial Narrow"/>
        </w:rPr>
        <w:t>1/23-01/</w:t>
      </w:r>
      <w:proofErr w:type="spellStart"/>
      <w:r w:rsidR="00853CF8" w:rsidRPr="00853CF8">
        <w:rPr>
          <w:rFonts w:ascii="Arial Narrow" w:hAnsi="Arial Narrow"/>
        </w:rPr>
        <w:t>01</w:t>
      </w:r>
      <w:proofErr w:type="spellEnd"/>
    </w:p>
    <w:p w:rsidR="009D3448" w:rsidRDefault="009D3448" w:rsidP="00A67292">
      <w:pPr>
        <w:spacing w:after="0"/>
        <w:rPr>
          <w:rFonts w:ascii="Arial Narrow" w:hAnsi="Arial Narrow"/>
        </w:rPr>
      </w:pPr>
      <w:proofErr w:type="spellStart"/>
      <w:r w:rsidRPr="00853CF8">
        <w:rPr>
          <w:rFonts w:ascii="Arial Narrow" w:hAnsi="Arial Narrow"/>
        </w:rPr>
        <w:t>Urbroj</w:t>
      </w:r>
      <w:proofErr w:type="spellEnd"/>
      <w:r w:rsidRPr="00853CF8">
        <w:rPr>
          <w:rFonts w:ascii="Arial Narrow" w:hAnsi="Arial Narrow"/>
        </w:rPr>
        <w:t>:</w:t>
      </w:r>
      <w:r w:rsidR="00BE0FBE" w:rsidRPr="00853CF8">
        <w:rPr>
          <w:rFonts w:ascii="Arial Narrow" w:hAnsi="Arial Narrow"/>
        </w:rPr>
        <w:t xml:space="preserve"> </w:t>
      </w:r>
      <w:r w:rsidR="00853CF8" w:rsidRPr="00853CF8">
        <w:rPr>
          <w:rFonts w:ascii="Arial Narrow" w:hAnsi="Arial Narrow"/>
        </w:rPr>
        <w:t>2175-16-4-01-23-01</w:t>
      </w:r>
    </w:p>
    <w:p w:rsidR="00853CF8" w:rsidRPr="00853CF8" w:rsidRDefault="00853CF8" w:rsidP="00A67292">
      <w:pPr>
        <w:spacing w:after="0"/>
        <w:rPr>
          <w:rFonts w:ascii="Arial Narrow" w:hAnsi="Arial Narrow"/>
        </w:rPr>
      </w:pPr>
    </w:p>
    <w:p w:rsidR="00CB1FC6" w:rsidRPr="003D26CD" w:rsidRDefault="0024699D" w:rsidP="00A6729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Obrovac Sinjski, 31.01.2023</w:t>
      </w:r>
      <w:r w:rsidR="001A531E" w:rsidRPr="003D26CD">
        <w:rPr>
          <w:rFonts w:ascii="Arial Narrow" w:hAnsi="Arial Narrow"/>
          <w:b/>
        </w:rPr>
        <w:t>.</w:t>
      </w:r>
    </w:p>
    <w:p w:rsidR="001A531E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</w:p>
    <w:p w:rsidR="009D3448" w:rsidRPr="003D26CD" w:rsidRDefault="009D3448" w:rsidP="001A531E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RKP: 12575         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Matični broj: 03067688</w:t>
      </w:r>
    </w:p>
    <w:p w:rsidR="009D3448" w:rsidRPr="003D26CD" w:rsidRDefault="009D3448" w:rsidP="00A67292">
      <w:pPr>
        <w:spacing w:after="0"/>
        <w:ind w:left="424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Djelatnost: 8520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OIB: 67272246049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Razina: 31</w:t>
      </w:r>
    </w:p>
    <w:p w:rsidR="009D3448" w:rsidRPr="003D26CD" w:rsidRDefault="00BF6AEA" w:rsidP="00A67292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5D57D1" w:rsidRPr="003D26CD">
        <w:rPr>
          <w:rFonts w:ascii="Arial Narrow" w:hAnsi="Arial Narrow"/>
          <w:b/>
        </w:rPr>
        <w:t>IBAN: HR</w:t>
      </w:r>
      <w:r w:rsidR="00CC624C" w:rsidRPr="003D26CD">
        <w:rPr>
          <w:rFonts w:ascii="Arial Narrow" w:hAnsi="Arial Narrow"/>
          <w:b/>
        </w:rPr>
        <w:t>4324070001100577478</w:t>
      </w:r>
    </w:p>
    <w:p w:rsidR="0025530A" w:rsidRPr="003D26CD" w:rsidRDefault="0025530A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:rsidR="009D3448" w:rsidRPr="003D26CD" w:rsidRDefault="009D3448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3D26CD">
        <w:rPr>
          <w:rFonts w:ascii="Arial Narrow" w:hAnsi="Arial Narrow"/>
          <w:b/>
          <w:sz w:val="28"/>
          <w:szCs w:val="28"/>
        </w:rPr>
        <w:t>BILJEŠKE</w:t>
      </w:r>
    </w:p>
    <w:p w:rsidR="005D57D1" w:rsidRPr="003D26CD" w:rsidRDefault="009D3448" w:rsidP="00051447">
      <w:pPr>
        <w:spacing w:after="120"/>
        <w:jc w:val="center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za razdoblje od 1.</w:t>
      </w:r>
      <w:r w:rsidR="00AC5724">
        <w:rPr>
          <w:rFonts w:ascii="Arial Narrow" w:hAnsi="Arial Narrow"/>
          <w:b/>
        </w:rPr>
        <w:t xml:space="preserve"> </w:t>
      </w:r>
      <w:r w:rsidRPr="003D26CD">
        <w:rPr>
          <w:rFonts w:ascii="Arial Narrow" w:hAnsi="Arial Narrow"/>
          <w:b/>
        </w:rPr>
        <w:t>siječ</w:t>
      </w:r>
      <w:r w:rsidR="0024699D">
        <w:rPr>
          <w:rFonts w:ascii="Arial Narrow" w:hAnsi="Arial Narrow"/>
          <w:b/>
        </w:rPr>
        <w:t>nja do 31. prosinca 2022</w:t>
      </w:r>
      <w:r w:rsidR="005D57D1" w:rsidRPr="003D26CD">
        <w:rPr>
          <w:rFonts w:ascii="Arial Narrow" w:hAnsi="Arial Narrow"/>
          <w:b/>
        </w:rPr>
        <w:t>. godine</w:t>
      </w:r>
    </w:p>
    <w:p w:rsidR="005D57D1" w:rsidRPr="003D26CD" w:rsidRDefault="005D57D1" w:rsidP="00051447">
      <w:pPr>
        <w:spacing w:after="120"/>
        <w:jc w:val="center"/>
        <w:rPr>
          <w:rFonts w:ascii="Arial Narrow" w:hAnsi="Arial Narrow"/>
          <w:b/>
        </w:rPr>
      </w:pPr>
    </w:p>
    <w:p w:rsidR="00CA1462" w:rsidRPr="003D26CD" w:rsidRDefault="007D46CF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Sukladno članku 14</w:t>
      </w:r>
      <w:r w:rsidR="005D57D1" w:rsidRPr="003D26CD">
        <w:rPr>
          <w:rFonts w:ascii="Arial Narrow" w:hAnsi="Arial Narrow"/>
        </w:rPr>
        <w:t>.</w:t>
      </w:r>
      <w:r w:rsidR="007A76C0">
        <w:rPr>
          <w:rFonts w:ascii="Arial Narrow" w:hAnsi="Arial Narrow"/>
        </w:rPr>
        <w:t xml:space="preserve">-18. </w:t>
      </w:r>
      <w:r w:rsidR="005D57D1" w:rsidRPr="003D26CD">
        <w:rPr>
          <w:rFonts w:ascii="Arial Narrow" w:hAnsi="Arial Narrow"/>
        </w:rPr>
        <w:t xml:space="preserve"> Pravilnika o financijskom izvještavanju u proračunskom računovodstvu (</w:t>
      </w:r>
      <w:r w:rsidR="001A7234">
        <w:rPr>
          <w:rFonts w:ascii="Arial Narrow" w:hAnsi="Arial Narrow"/>
        </w:rPr>
        <w:t xml:space="preserve"> NN br. 37/2022</w:t>
      </w:r>
      <w:r w:rsidR="00C11DC5" w:rsidRPr="003D26CD">
        <w:rPr>
          <w:rFonts w:ascii="Arial Narrow" w:hAnsi="Arial Narrow"/>
        </w:rPr>
        <w:t>.</w:t>
      </w:r>
      <w:r w:rsidR="00082CB6" w:rsidRPr="003D26CD">
        <w:rPr>
          <w:rFonts w:ascii="Arial Narrow" w:hAnsi="Arial Narrow"/>
        </w:rPr>
        <w:t>)</w:t>
      </w:r>
      <w:r w:rsidR="005D57D1" w:rsidRPr="003D26CD">
        <w:rPr>
          <w:rFonts w:ascii="Arial Narrow" w:hAnsi="Arial Narrow"/>
        </w:rPr>
        <w:t xml:space="preserve"> Bilješke su sastavni dio financijskog izvještaja proračuna i proračunskih korisnika.</w:t>
      </w:r>
    </w:p>
    <w:p w:rsidR="00E95EA7" w:rsidRDefault="009821B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Bilješke uz Bilancu</w:t>
      </w:r>
      <w:r w:rsidR="00273361" w:rsidRPr="00BD0C36">
        <w:rPr>
          <w:rFonts w:ascii="Arial Narrow" w:hAnsi="Arial Narrow"/>
          <w:b/>
          <w:sz w:val="32"/>
          <w:szCs w:val="32"/>
        </w:rPr>
        <w:t>- Obrazac BIL</w:t>
      </w:r>
    </w:p>
    <w:p w:rsidR="00BD0C36" w:rsidRDefault="00BD0C3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:rsidR="00BD0C36" w:rsidRPr="00BD0C36" w:rsidRDefault="00BD0C3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:rsidR="00FA0D2B" w:rsidRPr="003D26CD" w:rsidRDefault="00522FA6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Bilješka uz </w:t>
      </w:r>
      <w:r w:rsidR="005D57D1" w:rsidRPr="003D26CD">
        <w:rPr>
          <w:rFonts w:ascii="Arial Narrow" w:hAnsi="Arial Narrow"/>
          <w:b/>
        </w:rPr>
        <w:t>-</w:t>
      </w:r>
      <w:r w:rsidR="008153B1">
        <w:rPr>
          <w:rFonts w:ascii="Arial Narrow" w:hAnsi="Arial Narrow"/>
          <w:b/>
        </w:rPr>
        <w:t xml:space="preserve"> </w:t>
      </w:r>
      <w:r w:rsidR="005D57D1" w:rsidRPr="003D26CD">
        <w:rPr>
          <w:rFonts w:ascii="Arial Narrow" w:hAnsi="Arial Narrow"/>
          <w:b/>
        </w:rPr>
        <w:t>Nefinancijska imovina</w:t>
      </w:r>
    </w:p>
    <w:tbl>
      <w:tblPr>
        <w:tblStyle w:val="Srednjipopis2-Isticanje1"/>
        <w:tblW w:w="5095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37"/>
        <w:gridCol w:w="3023"/>
        <w:gridCol w:w="718"/>
        <w:gridCol w:w="1390"/>
        <w:gridCol w:w="1398"/>
        <w:gridCol w:w="1398"/>
      </w:tblGrid>
      <w:tr w:rsidR="00ED5CF1" w:rsidRPr="003D26CD" w:rsidTr="0052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</w:t>
            </w:r>
            <w:r w:rsidR="003341C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n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iz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8" w:type="pct"/>
            <w:tcBorders>
              <w:top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single" w:sz="8" w:space="0" w:color="4F81BD" w:themeColor="accent1"/>
            </w:tcBorders>
            <w:vAlign w:val="center"/>
          </w:tcPr>
          <w:p w:rsidR="00522B4C" w:rsidRPr="003D26CD" w:rsidRDefault="00965C36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5" w:type="pct"/>
            <w:tcBorders>
              <w:top w:val="single" w:sz="8" w:space="0" w:color="4F81BD" w:themeColor="accent1"/>
            </w:tcBorders>
            <w:vAlign w:val="center"/>
          </w:tcPr>
          <w:p w:rsidR="00522B4C" w:rsidRPr="003D26CD" w:rsidRDefault="0024699D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2022</w:t>
            </w:r>
            <w:r w:rsidR="00522B4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single" w:sz="8" w:space="0" w:color="4F81BD" w:themeColor="accent1"/>
            </w:tcBorders>
            <w:vAlign w:val="center"/>
          </w:tcPr>
          <w:p w:rsidR="00522B4C" w:rsidRPr="003D26CD" w:rsidRDefault="00522B4C" w:rsidP="000D5F2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Stanje 31. </w:t>
            </w:r>
            <w:r w:rsidR="0024699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prosinca 2022</w:t>
            </w:r>
            <w:r w:rsidR="000D5F2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8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5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9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3E24C0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3E24C0" w:rsidRPr="003D26CD" w:rsidRDefault="003E24C0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608" w:type="pct"/>
            <w:vAlign w:val="center"/>
          </w:tcPr>
          <w:p w:rsidR="003E24C0" w:rsidRPr="003D26CD" w:rsidRDefault="003E24C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Nefinancijska imovina</w:t>
            </w:r>
          </w:p>
        </w:tc>
        <w:tc>
          <w:tcPr>
            <w:tcW w:w="325" w:type="pct"/>
            <w:vAlign w:val="center"/>
          </w:tcPr>
          <w:p w:rsidR="003E24C0" w:rsidRPr="003D26CD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B002</w:t>
            </w:r>
          </w:p>
        </w:tc>
        <w:tc>
          <w:tcPr>
            <w:tcW w:w="745" w:type="pct"/>
            <w:vAlign w:val="center"/>
          </w:tcPr>
          <w:p w:rsidR="003E24C0" w:rsidRPr="003D26CD" w:rsidRDefault="003E24C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10.220.539,00</w:t>
            </w:r>
          </w:p>
        </w:tc>
        <w:tc>
          <w:tcPr>
            <w:tcW w:w="749" w:type="pct"/>
            <w:vAlign w:val="center"/>
          </w:tcPr>
          <w:p w:rsidR="003E24C0" w:rsidRPr="003D26CD" w:rsidRDefault="003E24C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10.160.626,16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3E24C0" w:rsidRPr="003D26CD" w:rsidRDefault="003E24C0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99,4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A06DFB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01</w:t>
            </w:r>
          </w:p>
        </w:tc>
        <w:tc>
          <w:tcPr>
            <w:tcW w:w="1608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proofErr w:type="spellStart"/>
            <w:r w:rsidRPr="003D26CD">
              <w:rPr>
                <w:rFonts w:ascii="Arial Narrow" w:eastAsiaTheme="minorEastAsia" w:hAnsi="Arial Narrow"/>
                <w:b/>
              </w:rPr>
              <w:t>Neproizvedena</w:t>
            </w:r>
            <w:proofErr w:type="spellEnd"/>
            <w:r w:rsidRPr="003D26CD">
              <w:rPr>
                <w:rFonts w:ascii="Arial Narrow" w:eastAsiaTheme="minorEastAsia" w:hAnsi="Arial Narrow"/>
                <w:b/>
              </w:rPr>
              <w:t xml:space="preserve"> dugotrajna imovina</w:t>
            </w:r>
          </w:p>
        </w:tc>
        <w:tc>
          <w:tcPr>
            <w:tcW w:w="325" w:type="pct"/>
            <w:vAlign w:val="center"/>
          </w:tcPr>
          <w:p w:rsidR="00A06DFB" w:rsidRPr="003D26CD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01</w:t>
            </w:r>
          </w:p>
        </w:tc>
        <w:tc>
          <w:tcPr>
            <w:tcW w:w="745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6.770</w:t>
            </w:r>
            <w:r w:rsidR="00ED5CF1">
              <w:rPr>
                <w:rFonts w:ascii="Arial Narrow" w:eastAsiaTheme="minorEastAsia" w:hAnsi="Arial Narrow"/>
                <w:b/>
              </w:rPr>
              <w:t>,00</w:t>
            </w:r>
          </w:p>
        </w:tc>
        <w:tc>
          <w:tcPr>
            <w:tcW w:w="749" w:type="pct"/>
            <w:vAlign w:val="center"/>
          </w:tcPr>
          <w:p w:rsidR="00A06DFB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6.770</w:t>
            </w:r>
            <w:r w:rsidR="00ED5CF1">
              <w:rPr>
                <w:rFonts w:ascii="Arial Narrow" w:eastAsiaTheme="minorEastAsia" w:hAnsi="Arial Narrow"/>
                <w:b/>
              </w:rPr>
              <w:t>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A06DFB" w:rsidRPr="003D26CD" w:rsidRDefault="00A648C7" w:rsidP="00E36A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011</w:t>
            </w:r>
          </w:p>
        </w:tc>
        <w:tc>
          <w:tcPr>
            <w:tcW w:w="1608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Materijalna prirodna bogatstva</w:t>
            </w:r>
          </w:p>
        </w:tc>
        <w:tc>
          <w:tcPr>
            <w:tcW w:w="325" w:type="pct"/>
            <w:vAlign w:val="center"/>
          </w:tcPr>
          <w:p w:rsidR="00522B4C" w:rsidRPr="003D26CD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011</w:t>
            </w:r>
          </w:p>
        </w:tc>
        <w:tc>
          <w:tcPr>
            <w:tcW w:w="745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6.770</w:t>
            </w:r>
            <w:r w:rsidR="00ED5CF1">
              <w:rPr>
                <w:rFonts w:ascii="Arial Narrow" w:eastAsiaTheme="minorEastAsia" w:hAnsi="Arial Narrow" w:cstheme="minorBidi"/>
                <w:color w:val="auto"/>
              </w:rPr>
              <w:t>,00</w:t>
            </w:r>
          </w:p>
        </w:tc>
        <w:tc>
          <w:tcPr>
            <w:tcW w:w="749" w:type="pct"/>
            <w:vAlign w:val="center"/>
          </w:tcPr>
          <w:p w:rsidR="00522B4C" w:rsidRPr="003D26CD" w:rsidRDefault="00A648C7" w:rsidP="00A648C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6.770</w:t>
            </w:r>
            <w:r w:rsidR="00ED5CF1">
              <w:rPr>
                <w:rFonts w:ascii="Arial Narrow" w:eastAsiaTheme="minorEastAsia" w:hAnsi="Arial Narrow" w:cstheme="minorBidi"/>
                <w:color w:val="auto"/>
              </w:rPr>
              <w:t>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021 i 02921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Građevinski objekti</w:t>
            </w:r>
          </w:p>
        </w:tc>
        <w:tc>
          <w:tcPr>
            <w:tcW w:w="325" w:type="pct"/>
            <w:vAlign w:val="center"/>
          </w:tcPr>
          <w:p w:rsidR="00522B4C" w:rsidRPr="003D26CD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02</w:t>
            </w:r>
          </w:p>
        </w:tc>
        <w:tc>
          <w:tcPr>
            <w:tcW w:w="745" w:type="pct"/>
            <w:vAlign w:val="center"/>
          </w:tcPr>
          <w:p w:rsidR="00522B4C" w:rsidRPr="003D26CD" w:rsidRDefault="00ED5CF1" w:rsidP="00192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10.150.153,00</w:t>
            </w:r>
          </w:p>
        </w:tc>
        <w:tc>
          <w:tcPr>
            <w:tcW w:w="749" w:type="pct"/>
            <w:vAlign w:val="center"/>
          </w:tcPr>
          <w:p w:rsidR="00522B4C" w:rsidRPr="003D26CD" w:rsidRDefault="00ED5CF1" w:rsidP="003151C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10.147.606,16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ED5CF1" w:rsidP="003151C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99,4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0212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Poslovni objekti</w:t>
            </w:r>
          </w:p>
        </w:tc>
        <w:tc>
          <w:tcPr>
            <w:tcW w:w="325" w:type="pct"/>
            <w:vAlign w:val="center"/>
          </w:tcPr>
          <w:p w:rsidR="00522B4C" w:rsidRPr="003D26CD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0212</w:t>
            </w:r>
          </w:p>
        </w:tc>
        <w:tc>
          <w:tcPr>
            <w:tcW w:w="745" w:type="pct"/>
            <w:vAlign w:val="center"/>
          </w:tcPr>
          <w:p w:rsidR="00522B4C" w:rsidRPr="003D26CD" w:rsidRDefault="00FB702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13.511.789</w:t>
            </w:r>
            <w:r w:rsidR="00ED5CF1">
              <w:rPr>
                <w:rFonts w:ascii="Arial Narrow" w:eastAsiaTheme="minorEastAsia" w:hAnsi="Arial Narrow" w:cstheme="minorBidi"/>
                <w:color w:val="auto"/>
              </w:rPr>
              <w:t>,00</w:t>
            </w:r>
          </w:p>
        </w:tc>
        <w:tc>
          <w:tcPr>
            <w:tcW w:w="749" w:type="pct"/>
            <w:vAlign w:val="center"/>
          </w:tcPr>
          <w:p w:rsidR="00522B4C" w:rsidRPr="003D26CD" w:rsidRDefault="0038408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13.511.789</w:t>
            </w:r>
            <w:r w:rsidR="00ED5CF1">
              <w:rPr>
                <w:rFonts w:ascii="Arial Narrow" w:eastAsiaTheme="minorEastAsia" w:hAnsi="Arial Narrow" w:cstheme="minorBidi"/>
                <w:color w:val="auto"/>
              </w:rPr>
              <w:t>,62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0214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Ostali </w:t>
            </w:r>
            <w:r w:rsidR="00AD3307" w:rsidRPr="003D26CD">
              <w:rPr>
                <w:rFonts w:ascii="Arial Narrow" w:eastAsiaTheme="minorEastAsia" w:hAnsi="Arial Narrow" w:cstheme="minorBidi"/>
                <w:color w:val="auto"/>
              </w:rPr>
              <w:t>građevinski obje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kti</w:t>
            </w:r>
          </w:p>
        </w:tc>
        <w:tc>
          <w:tcPr>
            <w:tcW w:w="325" w:type="pct"/>
            <w:vAlign w:val="center"/>
          </w:tcPr>
          <w:p w:rsidR="00522B4C" w:rsidRPr="003D26CD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0214</w:t>
            </w:r>
          </w:p>
        </w:tc>
        <w:tc>
          <w:tcPr>
            <w:tcW w:w="74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58.376</w:t>
            </w:r>
            <w:r w:rsidR="00ED5CF1">
              <w:rPr>
                <w:rFonts w:ascii="Arial Narrow" w:eastAsiaTheme="minorEastAsia" w:hAnsi="Arial Narrow" w:cstheme="minorBidi"/>
                <w:color w:val="auto"/>
              </w:rPr>
              <w:t>,00</w:t>
            </w:r>
          </w:p>
        </w:tc>
        <w:tc>
          <w:tcPr>
            <w:tcW w:w="749" w:type="pct"/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58.376</w:t>
            </w:r>
            <w:r w:rsidR="00ED5CF1">
              <w:rPr>
                <w:rFonts w:ascii="Arial Narrow" w:eastAsiaTheme="minorEastAsia" w:hAnsi="Arial Narrow" w:cstheme="minorBidi"/>
                <w:color w:val="auto"/>
              </w:rPr>
              <w:t>,20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38408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100</w:t>
            </w:r>
            <w:r w:rsidR="00A648C7" w:rsidRPr="003D26CD">
              <w:rPr>
                <w:rFonts w:ascii="Arial Narrow" w:eastAsiaTheme="minorEastAsia" w:hAnsi="Arial Narrow" w:cstheme="minorBidi"/>
                <w:color w:val="auto"/>
              </w:rPr>
              <w:t>,0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522B4C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lastRenderedPageBreak/>
              <w:t>02921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građevinskih objekata</w:t>
            </w:r>
          </w:p>
        </w:tc>
        <w:tc>
          <w:tcPr>
            <w:tcW w:w="325" w:type="pct"/>
            <w:vAlign w:val="center"/>
          </w:tcPr>
          <w:p w:rsidR="00522B4C" w:rsidRPr="003D26CD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02921</w:t>
            </w:r>
          </w:p>
        </w:tc>
        <w:tc>
          <w:tcPr>
            <w:tcW w:w="745" w:type="pct"/>
            <w:vAlign w:val="center"/>
          </w:tcPr>
          <w:p w:rsidR="00522B4C" w:rsidRPr="003D26CD" w:rsidRDefault="00ED5CF1" w:rsidP="00192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3.420.012,00</w:t>
            </w:r>
          </w:p>
        </w:tc>
        <w:tc>
          <w:tcPr>
            <w:tcW w:w="749" w:type="pct"/>
            <w:vAlign w:val="center"/>
          </w:tcPr>
          <w:p w:rsidR="00522B4C" w:rsidRPr="003D26CD" w:rsidRDefault="00ED5CF1" w:rsidP="004F78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3.586.068,65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104,9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E159EE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022/02922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608" w:type="pct"/>
            <w:vAlign w:val="center"/>
          </w:tcPr>
          <w:p w:rsidR="00522B4C" w:rsidRPr="003D26CD" w:rsidRDefault="00E159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Postrojenja i oprema</w:t>
            </w:r>
          </w:p>
        </w:tc>
        <w:tc>
          <w:tcPr>
            <w:tcW w:w="325" w:type="pct"/>
            <w:vAlign w:val="center"/>
          </w:tcPr>
          <w:p w:rsidR="00522B4C" w:rsidRPr="003D26CD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022 i 02922</w:t>
            </w:r>
          </w:p>
        </w:tc>
        <w:tc>
          <w:tcPr>
            <w:tcW w:w="745" w:type="pct"/>
            <w:vAlign w:val="center"/>
          </w:tcPr>
          <w:p w:rsidR="00522B4C" w:rsidRPr="003D26CD" w:rsidRDefault="00ED5CF1" w:rsidP="00FB702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60.479,00</w:t>
            </w:r>
          </w:p>
        </w:tc>
        <w:tc>
          <w:tcPr>
            <w:tcW w:w="749" w:type="pct"/>
            <w:vAlign w:val="center"/>
          </w:tcPr>
          <w:p w:rsidR="00522B4C" w:rsidRPr="003D26CD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162.155,82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2B4C" w:rsidRPr="003D26CD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268,10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0221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Uredska oprema</w:t>
            </w:r>
          </w:p>
        </w:tc>
        <w:tc>
          <w:tcPr>
            <w:tcW w:w="325" w:type="pct"/>
            <w:vAlign w:val="center"/>
          </w:tcPr>
          <w:p w:rsidR="00E159EE" w:rsidRPr="003D26CD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0221</w:t>
            </w:r>
          </w:p>
        </w:tc>
        <w:tc>
          <w:tcPr>
            <w:tcW w:w="745" w:type="pct"/>
            <w:vAlign w:val="center"/>
          </w:tcPr>
          <w:p w:rsidR="00E159EE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271.883,00</w:t>
            </w:r>
          </w:p>
        </w:tc>
        <w:tc>
          <w:tcPr>
            <w:tcW w:w="749" w:type="pct"/>
            <w:vAlign w:val="center"/>
          </w:tcPr>
          <w:p w:rsidR="00E159EE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396.343,80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ED5CF1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145,80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0222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Komunikacijska oprema</w:t>
            </w:r>
          </w:p>
        </w:tc>
        <w:tc>
          <w:tcPr>
            <w:tcW w:w="325" w:type="pct"/>
            <w:vAlign w:val="center"/>
          </w:tcPr>
          <w:p w:rsidR="00E159EE" w:rsidRPr="003D26CD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0222</w:t>
            </w:r>
          </w:p>
        </w:tc>
        <w:tc>
          <w:tcPr>
            <w:tcW w:w="745" w:type="pct"/>
            <w:vAlign w:val="center"/>
          </w:tcPr>
          <w:p w:rsidR="00E159EE" w:rsidRPr="003D26CD" w:rsidRDefault="00ED5CF1" w:rsidP="00ED5CF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67.078,00</w:t>
            </w:r>
          </w:p>
        </w:tc>
        <w:tc>
          <w:tcPr>
            <w:tcW w:w="749" w:type="pct"/>
            <w:vAlign w:val="center"/>
          </w:tcPr>
          <w:p w:rsidR="00E159EE" w:rsidRPr="003D26CD" w:rsidRDefault="009F1E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67.078</w:t>
            </w:r>
            <w:r w:rsidR="00ED5CF1">
              <w:rPr>
                <w:rFonts w:ascii="Arial Narrow" w:eastAsiaTheme="minorEastAsia" w:hAnsi="Arial Narrow"/>
              </w:rPr>
              <w:t>,46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100,00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0223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Oprema za održavanje i zaštitu</w:t>
            </w:r>
          </w:p>
        </w:tc>
        <w:tc>
          <w:tcPr>
            <w:tcW w:w="325" w:type="pct"/>
            <w:vAlign w:val="center"/>
          </w:tcPr>
          <w:p w:rsidR="00E159EE" w:rsidRPr="003D26CD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0223</w:t>
            </w:r>
          </w:p>
        </w:tc>
        <w:tc>
          <w:tcPr>
            <w:tcW w:w="745" w:type="pct"/>
            <w:vAlign w:val="center"/>
          </w:tcPr>
          <w:p w:rsidR="00E159EE" w:rsidRPr="003D26CD" w:rsidRDefault="00F42FFF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474.186</w:t>
            </w:r>
            <w:r w:rsidR="00ED5CF1">
              <w:rPr>
                <w:rFonts w:ascii="Arial Narrow" w:eastAsiaTheme="minorEastAsia" w:hAnsi="Arial Narrow"/>
              </w:rPr>
              <w:t>,00</w:t>
            </w:r>
          </w:p>
        </w:tc>
        <w:tc>
          <w:tcPr>
            <w:tcW w:w="749" w:type="pct"/>
            <w:vAlign w:val="center"/>
          </w:tcPr>
          <w:p w:rsidR="00E159EE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474.185,61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981EA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0225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Instrumenti, uređaji i strojevi</w:t>
            </w:r>
          </w:p>
        </w:tc>
        <w:tc>
          <w:tcPr>
            <w:tcW w:w="325" w:type="pct"/>
            <w:vAlign w:val="center"/>
          </w:tcPr>
          <w:p w:rsidR="00E159EE" w:rsidRPr="003D26CD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0225</w:t>
            </w:r>
          </w:p>
        </w:tc>
        <w:tc>
          <w:tcPr>
            <w:tcW w:w="74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6.292</w:t>
            </w:r>
            <w:r w:rsidR="00ED5CF1">
              <w:rPr>
                <w:rFonts w:ascii="Arial Narrow" w:eastAsiaTheme="minorEastAsia" w:hAnsi="Arial Narrow"/>
              </w:rPr>
              <w:t>,00</w:t>
            </w:r>
          </w:p>
        </w:tc>
        <w:tc>
          <w:tcPr>
            <w:tcW w:w="749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6.292</w:t>
            </w:r>
            <w:r w:rsidR="00ED5CF1">
              <w:rPr>
                <w:rFonts w:ascii="Arial Narrow" w:eastAsiaTheme="minorEastAsia" w:hAnsi="Arial Narrow"/>
              </w:rPr>
              <w:t>,46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03136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0226</w:t>
            </w:r>
          </w:p>
        </w:tc>
        <w:tc>
          <w:tcPr>
            <w:tcW w:w="1608" w:type="pct"/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Sportska i glazbene oprema</w:t>
            </w:r>
          </w:p>
        </w:tc>
        <w:tc>
          <w:tcPr>
            <w:tcW w:w="325" w:type="pct"/>
            <w:vAlign w:val="center"/>
          </w:tcPr>
          <w:p w:rsidR="00E159EE" w:rsidRPr="003D26CD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0226</w:t>
            </w:r>
          </w:p>
        </w:tc>
        <w:tc>
          <w:tcPr>
            <w:tcW w:w="745" w:type="pct"/>
            <w:vAlign w:val="center"/>
          </w:tcPr>
          <w:p w:rsidR="00E159EE" w:rsidRPr="003D26CD" w:rsidRDefault="00E36A8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197.801</w:t>
            </w:r>
            <w:r w:rsidR="00ED5CF1">
              <w:rPr>
                <w:rFonts w:ascii="Arial Narrow" w:eastAsiaTheme="minorEastAsia" w:hAnsi="Arial Narrow"/>
              </w:rPr>
              <w:t>,00</w:t>
            </w:r>
          </w:p>
        </w:tc>
        <w:tc>
          <w:tcPr>
            <w:tcW w:w="749" w:type="pct"/>
            <w:vAlign w:val="center"/>
          </w:tcPr>
          <w:p w:rsidR="00E159EE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197.800,92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1F713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</w:t>
            </w:r>
            <w:r w:rsidR="00442E8C">
              <w:rPr>
                <w:rFonts w:ascii="Arial Narrow" w:eastAsiaTheme="minorEastAsia" w:hAnsi="Arial Narrow"/>
              </w:rPr>
              <w:t>0,0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0227</w:t>
            </w:r>
          </w:p>
        </w:tc>
        <w:tc>
          <w:tcPr>
            <w:tcW w:w="1608" w:type="pct"/>
            <w:vAlign w:val="center"/>
          </w:tcPr>
          <w:p w:rsidR="00E159EE" w:rsidRPr="003D26CD" w:rsidRDefault="00AD330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Uređa</w:t>
            </w:r>
            <w:r w:rsidR="00685FF4" w:rsidRPr="003D26CD">
              <w:rPr>
                <w:rFonts w:ascii="Arial Narrow" w:eastAsiaTheme="minorEastAsia" w:hAnsi="Arial Narrow"/>
              </w:rPr>
              <w:t>ji, strojevi i opreme za ostale namjene</w:t>
            </w:r>
          </w:p>
        </w:tc>
        <w:tc>
          <w:tcPr>
            <w:tcW w:w="325" w:type="pct"/>
            <w:vAlign w:val="center"/>
          </w:tcPr>
          <w:p w:rsidR="00E159EE" w:rsidRPr="003D26CD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0227</w:t>
            </w:r>
          </w:p>
        </w:tc>
        <w:tc>
          <w:tcPr>
            <w:tcW w:w="745" w:type="pct"/>
            <w:vAlign w:val="center"/>
          </w:tcPr>
          <w:p w:rsidR="00E159EE" w:rsidRPr="003D26CD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246.388,00</w:t>
            </w:r>
          </w:p>
        </w:tc>
        <w:tc>
          <w:tcPr>
            <w:tcW w:w="749" w:type="pct"/>
            <w:vAlign w:val="center"/>
          </w:tcPr>
          <w:p w:rsidR="00E159EE" w:rsidRPr="003D26CD" w:rsidRDefault="00A4663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246.</w:t>
            </w:r>
            <w:r w:rsidR="00ED5CF1">
              <w:rPr>
                <w:rFonts w:ascii="Arial Narrow" w:eastAsiaTheme="minorEastAsia" w:hAnsi="Arial Narrow"/>
              </w:rPr>
              <w:t>388,48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4627E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</w:t>
            </w:r>
            <w:r w:rsidR="001F7131">
              <w:rPr>
                <w:rFonts w:ascii="Arial Narrow" w:eastAsiaTheme="minorEastAsia" w:hAnsi="Arial Narrow"/>
              </w:rPr>
              <w:t>0</w:t>
            </w:r>
            <w:r w:rsidR="00031366" w:rsidRPr="003D26CD">
              <w:rPr>
                <w:rFonts w:ascii="Arial Narrow" w:eastAsiaTheme="minorEastAsia" w:hAnsi="Arial Narrow"/>
              </w:rPr>
              <w:t>,0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02922</w:t>
            </w:r>
          </w:p>
        </w:tc>
        <w:tc>
          <w:tcPr>
            <w:tcW w:w="1608" w:type="pct"/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opreme</w:t>
            </w:r>
          </w:p>
        </w:tc>
        <w:tc>
          <w:tcPr>
            <w:tcW w:w="325" w:type="pct"/>
            <w:vAlign w:val="center"/>
          </w:tcPr>
          <w:p w:rsidR="00E159EE" w:rsidRPr="003D26CD" w:rsidRDefault="0073321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02922</w:t>
            </w:r>
          </w:p>
        </w:tc>
        <w:tc>
          <w:tcPr>
            <w:tcW w:w="745" w:type="pct"/>
            <w:vAlign w:val="center"/>
          </w:tcPr>
          <w:p w:rsidR="00E159EE" w:rsidRPr="003D26CD" w:rsidRDefault="00ED5CF1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1.203.149,00</w:t>
            </w:r>
          </w:p>
        </w:tc>
        <w:tc>
          <w:tcPr>
            <w:tcW w:w="749" w:type="pct"/>
            <w:vAlign w:val="center"/>
          </w:tcPr>
          <w:p w:rsidR="00E159EE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1.225.933,91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ED5CF1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101,9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024 i 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Knjige, umjetnička djela i ostale izložbene vrijednosti</w:t>
            </w:r>
          </w:p>
        </w:tc>
        <w:tc>
          <w:tcPr>
            <w:tcW w:w="325" w:type="pct"/>
            <w:vAlign w:val="center"/>
          </w:tcPr>
          <w:p w:rsidR="004A3651" w:rsidRPr="008A7655" w:rsidRDefault="006C4A06" w:rsidP="008A765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024 i 02924</w:t>
            </w:r>
          </w:p>
        </w:tc>
        <w:tc>
          <w:tcPr>
            <w:tcW w:w="745" w:type="pct"/>
            <w:vAlign w:val="center"/>
          </w:tcPr>
          <w:p w:rsidR="004A3651" w:rsidRPr="003D26CD" w:rsidRDefault="002A4D9A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4B197E" w:rsidP="004B19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0241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Knjige</w:t>
            </w:r>
          </w:p>
        </w:tc>
        <w:tc>
          <w:tcPr>
            <w:tcW w:w="325" w:type="pct"/>
            <w:vAlign w:val="center"/>
          </w:tcPr>
          <w:p w:rsidR="004A3651" w:rsidRPr="003D26CD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0241</w:t>
            </w:r>
          </w:p>
        </w:tc>
        <w:tc>
          <w:tcPr>
            <w:tcW w:w="745" w:type="pct"/>
            <w:vAlign w:val="center"/>
          </w:tcPr>
          <w:p w:rsidR="004A3651" w:rsidRPr="003D26CD" w:rsidRDefault="00ED5CF1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499.127,00</w:t>
            </w:r>
          </w:p>
        </w:tc>
        <w:tc>
          <w:tcPr>
            <w:tcW w:w="749" w:type="pct"/>
            <w:vAlign w:val="center"/>
          </w:tcPr>
          <w:p w:rsidR="004A3651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590.555,78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ED5CF1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118,3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knjiga, umjetničkih djela i ostalih izložbenih vrijednosti</w:t>
            </w:r>
          </w:p>
        </w:tc>
        <w:tc>
          <w:tcPr>
            <w:tcW w:w="325" w:type="pct"/>
            <w:vAlign w:val="center"/>
          </w:tcPr>
          <w:p w:rsidR="004A3651" w:rsidRPr="003D26CD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02924</w:t>
            </w:r>
          </w:p>
        </w:tc>
        <w:tc>
          <w:tcPr>
            <w:tcW w:w="745" w:type="pct"/>
            <w:vAlign w:val="center"/>
          </w:tcPr>
          <w:p w:rsidR="004A3651" w:rsidRPr="003D26CD" w:rsidRDefault="00ED5CF1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499.127,00</w:t>
            </w:r>
          </w:p>
        </w:tc>
        <w:tc>
          <w:tcPr>
            <w:tcW w:w="749" w:type="pct"/>
            <w:vAlign w:val="center"/>
          </w:tcPr>
          <w:p w:rsidR="004A3651" w:rsidRPr="003D26CD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590.555,78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ED5CF1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118,3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026</w:t>
            </w:r>
            <w:r w:rsidR="00A31B45">
              <w:rPr>
                <w:rFonts w:ascii="Arial Narrow" w:hAnsi="Arial Narrow"/>
                <w:b/>
              </w:rPr>
              <w:t xml:space="preserve"> i 02926</w:t>
            </w:r>
          </w:p>
        </w:tc>
        <w:tc>
          <w:tcPr>
            <w:tcW w:w="1608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DF442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Nematerijalna proizvedena imovina</w:t>
            </w:r>
          </w:p>
        </w:tc>
        <w:tc>
          <w:tcPr>
            <w:tcW w:w="32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026 i 02926</w:t>
            </w:r>
          </w:p>
        </w:tc>
        <w:tc>
          <w:tcPr>
            <w:tcW w:w="74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D0358D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  <w:r w:rsidR="00ED5CF1">
              <w:rPr>
                <w:rFonts w:ascii="Arial Narrow" w:hAnsi="Arial Narrow"/>
                <w:b/>
              </w:rPr>
              <w:t>137,00</w:t>
            </w:r>
          </w:p>
        </w:tc>
        <w:tc>
          <w:tcPr>
            <w:tcW w:w="749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1.354,17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D5CF1" w:rsidP="00462D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43,2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1B45" w:rsidRPr="003D26CD" w:rsidRDefault="00A31B45" w:rsidP="00A67292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0262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A31B4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Ulaganja u računalne programe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0262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ED5CF1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2.500,00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956E1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2.500</w:t>
            </w:r>
            <w:r w:rsidR="00D0358D">
              <w:rPr>
                <w:rFonts w:ascii="Arial Narrow" w:hAnsi="Arial Narrow"/>
              </w:rPr>
              <w:t>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ED5CF1" w:rsidP="00E830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0264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8306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Ostala nematerijalna proizvedena imovina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0264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FA0D09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55.556</w:t>
            </w:r>
            <w:r w:rsidR="00ED5CF1">
              <w:rPr>
                <w:rFonts w:ascii="Arial Narrow" w:hAnsi="Arial Narrow"/>
              </w:rPr>
              <w:t>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D5CF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55.555,55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FA0D09" w:rsidP="00E8306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100,00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5C7C32" w:rsidRPr="003D26CD" w:rsidRDefault="005C7C3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nematerijalne imovine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02926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ED5CF1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54.919,00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56.701,38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ED5CF1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103,20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2A4D9A" w:rsidRPr="002A4D9A" w:rsidRDefault="002A4D9A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Sitni inventar u upotrebi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Default="002A4D9A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2A4D9A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042</w:t>
            </w:r>
            <w:r w:rsidR="002A4D9A" w:rsidRPr="002A4D9A">
              <w:rPr>
                <w:rFonts w:ascii="Arial Narrow" w:hAnsi="Arial Narrow"/>
              </w:rPr>
              <w:t>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Zalihe sitnog inventar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0421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ED5CF1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190.699,00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193.849,31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ED5CF1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101,7</w:t>
            </w:r>
          </w:p>
        </w:tc>
      </w:tr>
      <w:tr w:rsidR="006C4A06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C4A06" w:rsidRPr="006C4A06" w:rsidRDefault="006C4A06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6C4A06">
              <w:rPr>
                <w:rFonts w:ascii="Arial Narrow" w:hAnsi="Arial Narrow"/>
                <w:b/>
              </w:rPr>
              <w:t>049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C4A06" w:rsidRPr="006C4A06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C4A06">
              <w:rPr>
                <w:rFonts w:ascii="Arial Narrow" w:hAnsi="Arial Narrow"/>
                <w:b/>
              </w:rPr>
              <w:t>Ispravak vrijednosti sitnog inventara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C4A06" w:rsidRPr="006C4A06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049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C4A06" w:rsidRPr="006C4A06" w:rsidRDefault="006C4A06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190.699,00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C4A06" w:rsidRPr="006C4A06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193.849,31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C4A06" w:rsidRPr="006C4A06" w:rsidRDefault="006C4A06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101,7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3D26CD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049</w:t>
            </w:r>
            <w:r w:rsidR="002A4D9A">
              <w:rPr>
                <w:rFonts w:ascii="Arial Narrow" w:hAnsi="Arial Narrow"/>
              </w:rPr>
              <w:t>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sitnog inventara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0492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ED5CF1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190.699,00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193.849,31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ED5CF1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101,7</w:t>
            </w:r>
          </w:p>
        </w:tc>
      </w:tr>
      <w:tr w:rsidR="00ED5CF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D0358D" w:rsidRDefault="00F67195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0358D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D0358D" w:rsidRDefault="00F6719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0358D">
              <w:rPr>
                <w:rFonts w:ascii="Arial Narrow" w:hAnsi="Arial Narrow"/>
                <w:b/>
              </w:rPr>
              <w:t>Dugotrajna nefinancijska imovina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D0358D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D0358D" w:rsidRDefault="00FB702D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0358D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D0358D" w:rsidRDefault="00D0358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0358D">
              <w:rPr>
                <w:rFonts w:ascii="Arial Narrow" w:hAnsi="Arial Narrow"/>
                <w:b/>
              </w:rPr>
              <w:t>6.250,00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D0358D" w:rsidRDefault="004B197E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0358D">
              <w:rPr>
                <w:rFonts w:ascii="Arial Narrow" w:hAnsi="Arial Narrow"/>
                <w:b/>
              </w:rPr>
              <w:t>-</w:t>
            </w:r>
          </w:p>
        </w:tc>
      </w:tr>
      <w:tr w:rsidR="00ED5CF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3D26CD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Građevinski objekti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051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B702D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6.250,00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</w:tbl>
    <w:p w:rsidR="00CC1F35" w:rsidRDefault="000558D1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013E32">
        <w:rPr>
          <w:rFonts w:ascii="Arial Narrow" w:hAnsi="Arial Narrow"/>
        </w:rPr>
        <w:t xml:space="preserve"> 2022. godini p</w:t>
      </w:r>
      <w:r w:rsidR="00AC577A">
        <w:rPr>
          <w:rFonts w:ascii="Arial Narrow" w:hAnsi="Arial Narrow"/>
        </w:rPr>
        <w:t>ovećana je vrijednost ispravka vrijednosti građevinskih objekata i opreme  što  je rezultiralo na smanjenje vrijednosti građevinskih objekata.</w:t>
      </w:r>
      <w:r w:rsidR="00013E32">
        <w:rPr>
          <w:rFonts w:ascii="Arial Narrow" w:hAnsi="Arial Narrow"/>
        </w:rPr>
        <w:t>( Indeks 99,4)</w:t>
      </w:r>
    </w:p>
    <w:p w:rsidR="0014130B" w:rsidRDefault="00BA6B8A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 2022</w:t>
      </w:r>
      <w:r w:rsidR="00112517">
        <w:rPr>
          <w:rFonts w:ascii="Arial Narrow" w:hAnsi="Arial Narrow"/>
        </w:rPr>
        <w:t>.</w:t>
      </w:r>
      <w:r w:rsidR="00CC1F35">
        <w:rPr>
          <w:rFonts w:ascii="Arial Narrow" w:hAnsi="Arial Narrow"/>
        </w:rPr>
        <w:t xml:space="preserve"> </w:t>
      </w:r>
      <w:r w:rsidR="00112517">
        <w:rPr>
          <w:rFonts w:ascii="Arial Narrow" w:hAnsi="Arial Narrow"/>
        </w:rPr>
        <w:t>n</w:t>
      </w:r>
      <w:r w:rsidR="00AC577A">
        <w:rPr>
          <w:rFonts w:ascii="Arial Narrow" w:hAnsi="Arial Narrow"/>
        </w:rPr>
        <w:t xml:space="preserve">abavljeno je  124.460,80 </w:t>
      </w:r>
      <w:r w:rsidR="00D55A7D">
        <w:rPr>
          <w:rFonts w:ascii="Arial Narrow" w:hAnsi="Arial Narrow"/>
        </w:rPr>
        <w:t xml:space="preserve"> kn</w:t>
      </w:r>
      <w:r w:rsidR="00F66CBA">
        <w:rPr>
          <w:rFonts w:ascii="Arial Narrow" w:hAnsi="Arial Narrow"/>
        </w:rPr>
        <w:t xml:space="preserve"> računalne </w:t>
      </w:r>
      <w:r w:rsidR="00AC577A">
        <w:rPr>
          <w:rFonts w:ascii="Arial Narrow" w:hAnsi="Arial Narrow"/>
        </w:rPr>
        <w:t xml:space="preserve"> opreme koja</w:t>
      </w:r>
      <w:r w:rsidR="00D55A7D">
        <w:rPr>
          <w:rFonts w:ascii="Arial Narrow" w:hAnsi="Arial Narrow"/>
        </w:rPr>
        <w:t xml:space="preserve"> </w:t>
      </w:r>
      <w:r w:rsidR="00F66CBA">
        <w:rPr>
          <w:rFonts w:ascii="Arial Narrow" w:hAnsi="Arial Narrow"/>
        </w:rPr>
        <w:t>je fi</w:t>
      </w:r>
      <w:r w:rsidR="00AC577A">
        <w:rPr>
          <w:rFonts w:ascii="Arial Narrow" w:hAnsi="Arial Narrow"/>
        </w:rPr>
        <w:t xml:space="preserve">nancirana iz sredstava Pomoći EU i Pomoći nacionalno sufinanciranje  ( Aktivnost </w:t>
      </w:r>
      <w:proofErr w:type="spellStart"/>
      <w:r w:rsidR="00AC577A">
        <w:rPr>
          <w:rFonts w:ascii="Arial Narrow" w:hAnsi="Arial Narrow"/>
        </w:rPr>
        <w:t>Biomozaik</w:t>
      </w:r>
      <w:proofErr w:type="spellEnd"/>
      <w:r w:rsidR="00AC577A">
        <w:rPr>
          <w:rFonts w:ascii="Arial Narrow" w:hAnsi="Arial Narrow"/>
        </w:rPr>
        <w:t xml:space="preserve"> Krš i more) </w:t>
      </w:r>
      <w:r w:rsidR="00F66CBA">
        <w:rPr>
          <w:rFonts w:ascii="Arial Narrow" w:hAnsi="Arial Narrow"/>
        </w:rPr>
        <w:t xml:space="preserve"> </w:t>
      </w:r>
      <w:r w:rsidR="00AC577A">
        <w:rPr>
          <w:rFonts w:ascii="Arial Narrow" w:hAnsi="Arial Narrow"/>
        </w:rPr>
        <w:t>119.080,80 kn i  5.380,00 kn ( iz Pomoći</w:t>
      </w:r>
      <w:r w:rsidR="003E24C0">
        <w:rPr>
          <w:rFonts w:ascii="Arial Narrow" w:hAnsi="Arial Narrow"/>
        </w:rPr>
        <w:t xml:space="preserve"> od </w:t>
      </w:r>
      <w:proofErr w:type="spellStart"/>
      <w:r w:rsidR="003E24C0">
        <w:rPr>
          <w:rFonts w:ascii="Arial Narrow" w:hAnsi="Arial Narrow"/>
        </w:rPr>
        <w:t>nendležnog</w:t>
      </w:r>
      <w:proofErr w:type="spellEnd"/>
      <w:r w:rsidR="003E24C0">
        <w:rPr>
          <w:rFonts w:ascii="Arial Narrow" w:hAnsi="Arial Narrow"/>
        </w:rPr>
        <w:t xml:space="preserve"> proračuna</w:t>
      </w:r>
      <w:r w:rsidR="00AC577A">
        <w:rPr>
          <w:rFonts w:ascii="Arial Narrow" w:hAnsi="Arial Narrow"/>
        </w:rPr>
        <w:t>)</w:t>
      </w:r>
      <w:r w:rsidR="00013E32">
        <w:rPr>
          <w:rFonts w:ascii="Arial Narrow" w:hAnsi="Arial Narrow"/>
        </w:rPr>
        <w:t>.</w:t>
      </w:r>
    </w:p>
    <w:p w:rsidR="00013E32" w:rsidRPr="00013E32" w:rsidRDefault="00013E32" w:rsidP="00013E32">
      <w:pPr>
        <w:spacing w:after="120"/>
        <w:rPr>
          <w:rFonts w:ascii="Arial Narrow" w:hAnsi="Arial Narrow"/>
        </w:rPr>
      </w:pPr>
      <w:r w:rsidRPr="00013E32">
        <w:rPr>
          <w:rFonts w:ascii="Arial Narrow" w:hAnsi="Arial Narrow"/>
        </w:rPr>
        <w:t>Projekt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Biomozaik</w:t>
      </w:r>
      <w:proofErr w:type="spellEnd"/>
      <w:r>
        <w:rPr>
          <w:rFonts w:ascii="Arial Narrow" w:hAnsi="Arial Narrow"/>
        </w:rPr>
        <w:t xml:space="preserve"> Krš i more</w:t>
      </w:r>
      <w:r w:rsidRPr="00013E32">
        <w:rPr>
          <w:rFonts w:ascii="Arial Narrow" w:hAnsi="Arial Narrow"/>
        </w:rPr>
        <w:t xml:space="preserve"> financira Kraljevina Norveška i programa Europski gospodarski pojas financijskog mehanizma za razdoblje od 2014. Do 2021., a provodi se u sklopu poziva  Jačanje STEM vještina u osnovnim školama i razvoj regionalnih znanstvenih centara za osnovnoškolski odgoj i obrazovanje u STEM području.</w:t>
      </w:r>
    </w:p>
    <w:p w:rsidR="00013E32" w:rsidRDefault="00013E32" w:rsidP="00013E32">
      <w:pPr>
        <w:spacing w:after="120"/>
        <w:rPr>
          <w:rFonts w:ascii="Arial Narrow" w:hAnsi="Arial Narrow"/>
        </w:rPr>
      </w:pPr>
      <w:r w:rsidRPr="00013E32">
        <w:rPr>
          <w:rFonts w:ascii="Arial Narrow" w:hAnsi="Arial Narrow"/>
        </w:rPr>
        <w:t>U travnju 2014. godine Republika Hrvatska pristupila je članstvu Europskog gospodarskog prostora (EGP) potpisivanjem Sporazuma o sudjelovanju u EGP-u i time postala 15. država članica Europske unije, kojoj je dana mogućnost korištenja Norveškog financijskog mehanizama i EGP financijskog mehanizma.</w:t>
      </w:r>
      <w:r w:rsidRPr="00013E32">
        <w:rPr>
          <w:rFonts w:ascii="Arial Narrow" w:hAnsi="Arial Narrow"/>
        </w:rPr>
        <w:br/>
        <w:t>Financijski mehanizam Europskog gospodarskog prostora (EGP) i Norveški financijski mehanizam doprinose smanjenju društvenih i ekonomskih nejednakosti u Europi te istovremeno jačaju bilateralnu suradnju između država darovateljica (Island, Lihtenštajn i Norveška) i zemalja korisnica financijskih mehanizama.</w:t>
      </w:r>
    </w:p>
    <w:p w:rsidR="00013E32" w:rsidRPr="00013E32" w:rsidRDefault="00013E32" w:rsidP="00013E32">
      <w:pPr>
        <w:rPr>
          <w:rFonts w:ascii="Arial Narrow" w:hAnsi="Arial Narrow"/>
        </w:rPr>
      </w:pPr>
      <w:r w:rsidRPr="00013E32">
        <w:rPr>
          <w:rFonts w:ascii="Arial Narrow" w:hAnsi="Arial Narrow"/>
        </w:rPr>
        <w:t>Cilj je razvoj izvrsnosti u osnovnoškolskom obrazovanju u području  STEM-a. IKT-a, poduzetništva i aktivnog građanstva s naglaskom na područja biokemije i biotehnologije.</w:t>
      </w:r>
    </w:p>
    <w:p w:rsidR="00013E32" w:rsidRPr="00013E32" w:rsidRDefault="00013E32" w:rsidP="00013E32">
      <w:pPr>
        <w:rPr>
          <w:rFonts w:ascii="Arial Narrow" w:hAnsi="Arial Narrow"/>
        </w:rPr>
      </w:pPr>
      <w:r w:rsidRPr="00013E32">
        <w:rPr>
          <w:rFonts w:ascii="Arial Narrow" w:hAnsi="Arial Narrow"/>
        </w:rPr>
        <w:t xml:space="preserve">Cilj projekta je razvijanje afiniteta prema STEM područjima učenika i odgojno – obrazovnih djelatnika; podizanje ekološke svijesti učenika; sudjelovanje u praktičnim aktivnostima učenika kroz sudjelovanje u realizaciji projekta; razvijanje suradnje i timskog rada; razvijanje poduzetništva i IKT-a kod učenika kao jedne od </w:t>
      </w:r>
      <w:proofErr w:type="spellStart"/>
      <w:r w:rsidRPr="00013E32">
        <w:rPr>
          <w:rFonts w:ascii="Arial Narrow" w:hAnsi="Arial Narrow"/>
        </w:rPr>
        <w:t>međupredmetnih</w:t>
      </w:r>
      <w:proofErr w:type="spellEnd"/>
      <w:r w:rsidRPr="00013E32">
        <w:rPr>
          <w:rFonts w:ascii="Arial Narrow" w:hAnsi="Arial Narrow"/>
        </w:rPr>
        <w:t xml:space="preserve"> tema i ciljeva  </w:t>
      </w:r>
      <w:proofErr w:type="spellStart"/>
      <w:r w:rsidRPr="00013E32">
        <w:rPr>
          <w:rFonts w:ascii="Arial Narrow" w:hAnsi="Arial Narrow"/>
        </w:rPr>
        <w:t>cjeloživotnog</w:t>
      </w:r>
      <w:proofErr w:type="spellEnd"/>
      <w:r w:rsidRPr="00013E32">
        <w:rPr>
          <w:rFonts w:ascii="Arial Narrow" w:hAnsi="Arial Narrow"/>
        </w:rPr>
        <w:t xml:space="preserve">  obrazovanja u strategiji obrazovanja  Europske unije.</w:t>
      </w:r>
    </w:p>
    <w:p w:rsidR="00013E32" w:rsidRDefault="00013E32" w:rsidP="00013E32">
      <w:pPr>
        <w:spacing w:after="120"/>
        <w:rPr>
          <w:rFonts w:ascii="Arial Narrow" w:hAnsi="Arial Narrow"/>
        </w:rPr>
      </w:pPr>
    </w:p>
    <w:p w:rsidR="00F66CBA" w:rsidRDefault="00AC577A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Povećana je vrijednost </w:t>
      </w:r>
      <w:r w:rsidR="00F66CBA">
        <w:rPr>
          <w:rFonts w:ascii="Arial Narrow" w:hAnsi="Arial Narrow"/>
        </w:rPr>
        <w:t xml:space="preserve">ispravka vrijednosti </w:t>
      </w:r>
      <w:r>
        <w:rPr>
          <w:rFonts w:ascii="Arial Narrow" w:hAnsi="Arial Narrow"/>
        </w:rPr>
        <w:t xml:space="preserve"> </w:t>
      </w:r>
      <w:r w:rsidR="00F66CBA">
        <w:rPr>
          <w:rFonts w:ascii="Arial Narrow" w:hAnsi="Arial Narrow"/>
        </w:rPr>
        <w:t>opreme</w:t>
      </w:r>
      <w:r>
        <w:rPr>
          <w:rFonts w:ascii="Arial Narrow" w:hAnsi="Arial Narrow"/>
        </w:rPr>
        <w:t xml:space="preserve">( Indeks 101.9), a istovremeno je </w:t>
      </w:r>
      <w:r w:rsidR="00013E32">
        <w:rPr>
          <w:rFonts w:ascii="Arial Narrow" w:hAnsi="Arial Narrow"/>
        </w:rPr>
        <w:t xml:space="preserve">povećana vrijednost nabavljene </w:t>
      </w:r>
      <w:r>
        <w:rPr>
          <w:rFonts w:ascii="Arial Narrow" w:hAnsi="Arial Narrow"/>
        </w:rPr>
        <w:t xml:space="preserve"> opreme ( Indeks 145,80)  što  je rezultiralo na povećanje</w:t>
      </w:r>
      <w:r w:rsidR="00F66C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vrijednosti dugotrajne imovine.( Indeks 268,10)</w:t>
      </w:r>
      <w:r w:rsidR="00013E32">
        <w:rPr>
          <w:rFonts w:ascii="Arial Narrow" w:hAnsi="Arial Narrow"/>
        </w:rPr>
        <w:t>.</w:t>
      </w:r>
    </w:p>
    <w:p w:rsidR="00013E32" w:rsidRDefault="00013E32" w:rsidP="00013E32">
      <w:pPr>
        <w:pStyle w:val="Tijeloteksta"/>
        <w:jc w:val="left"/>
        <w:rPr>
          <w:rFonts w:ascii="Arial Narrow" w:hAnsi="Arial Narrow"/>
          <w:b w:val="0"/>
        </w:rPr>
      </w:pPr>
      <w:r w:rsidRPr="003D26CD">
        <w:rPr>
          <w:rFonts w:ascii="Arial Narrow" w:hAnsi="Arial Narrow"/>
          <w:b w:val="0"/>
        </w:rPr>
        <w:t>Iz horizontalne analize, uspoređujući podatke o tendenciji i dinamici promjena pojedinih odjeljaka građevinskih objekata te postrojenja i opreme</w:t>
      </w:r>
      <w:r>
        <w:rPr>
          <w:rFonts w:ascii="Arial Narrow" w:hAnsi="Arial Narrow"/>
          <w:b w:val="0"/>
        </w:rPr>
        <w:t xml:space="preserve"> na početku i na kraju 2022</w:t>
      </w:r>
      <w:r w:rsidRPr="003D26CD">
        <w:rPr>
          <w:rFonts w:ascii="Arial Narrow" w:hAnsi="Arial Narrow"/>
          <w:b w:val="0"/>
        </w:rPr>
        <w:t>.godine, slijed</w:t>
      </w:r>
      <w:r>
        <w:rPr>
          <w:rFonts w:ascii="Arial Narrow" w:hAnsi="Arial Narrow"/>
          <w:b w:val="0"/>
        </w:rPr>
        <w:t>i zaključak da je tijekom 2022</w:t>
      </w:r>
      <w:r w:rsidRPr="003D26CD">
        <w:rPr>
          <w:rFonts w:ascii="Arial Narrow" w:hAnsi="Arial Narrow"/>
          <w:b w:val="0"/>
        </w:rPr>
        <w:t xml:space="preserve">. godine </w:t>
      </w:r>
      <w:r>
        <w:rPr>
          <w:rFonts w:ascii="Arial Narrow" w:hAnsi="Arial Narrow"/>
          <w:b w:val="0"/>
        </w:rPr>
        <w:t>smanjena</w:t>
      </w:r>
      <w:r w:rsidRPr="003D26CD">
        <w:rPr>
          <w:rFonts w:ascii="Arial Narrow" w:hAnsi="Arial Narrow"/>
          <w:b w:val="0"/>
        </w:rPr>
        <w:t xml:space="preserve"> vrijednost</w:t>
      </w:r>
      <w:r>
        <w:rPr>
          <w:rFonts w:ascii="Arial Narrow" w:hAnsi="Arial Narrow"/>
          <w:b w:val="0"/>
        </w:rPr>
        <w:t xml:space="preserve"> dugotrajne</w:t>
      </w:r>
      <w:r w:rsidRPr="003D26CD">
        <w:rPr>
          <w:rFonts w:ascii="Arial Narrow" w:hAnsi="Arial Narrow"/>
          <w:b w:val="0"/>
        </w:rPr>
        <w:t xml:space="preserve"> imo</w:t>
      </w:r>
      <w:r>
        <w:rPr>
          <w:rFonts w:ascii="Arial Narrow" w:hAnsi="Arial Narrow"/>
          <w:b w:val="0"/>
        </w:rPr>
        <w:t>vine (Indeks 99,4 ).</w:t>
      </w:r>
    </w:p>
    <w:p w:rsidR="00013E32" w:rsidRDefault="00013E32" w:rsidP="001F6F4B">
      <w:pPr>
        <w:spacing w:after="120"/>
        <w:rPr>
          <w:rFonts w:ascii="Arial Narrow" w:hAnsi="Arial Narrow"/>
        </w:rPr>
      </w:pPr>
    </w:p>
    <w:p w:rsidR="00D55A7D" w:rsidRDefault="00AE6EC0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BA6B8A">
        <w:rPr>
          <w:rFonts w:ascii="Arial Narrow" w:hAnsi="Arial Narrow"/>
        </w:rPr>
        <w:t>2022</w:t>
      </w:r>
      <w:r>
        <w:rPr>
          <w:rFonts w:ascii="Arial Narrow" w:hAnsi="Arial Narrow"/>
        </w:rPr>
        <w:t>. godini n</w:t>
      </w:r>
      <w:r w:rsidR="00D55A7D">
        <w:rPr>
          <w:rFonts w:ascii="Arial Narrow" w:hAnsi="Arial Narrow"/>
        </w:rPr>
        <w:t xml:space="preserve">abavljeno je sitnog inventara u vrijednosti  </w:t>
      </w:r>
      <w:r w:rsidR="00013E32">
        <w:rPr>
          <w:rFonts w:ascii="Arial Narrow" w:hAnsi="Arial Narrow"/>
        </w:rPr>
        <w:t>3.150,00</w:t>
      </w:r>
      <w:r w:rsidR="00E57355">
        <w:rPr>
          <w:rFonts w:ascii="Arial Narrow" w:hAnsi="Arial Narrow"/>
        </w:rPr>
        <w:t xml:space="preserve"> </w:t>
      </w:r>
      <w:r w:rsidR="00013E32">
        <w:rPr>
          <w:rFonts w:ascii="Arial Narrow" w:hAnsi="Arial Narrow"/>
        </w:rPr>
        <w:t>kn.( Izvor Osnivač) i napravljen je ispravak vrijednosti istog. Indeks na poziciji sitnog inventara je 101,7.</w:t>
      </w:r>
    </w:p>
    <w:p w:rsidR="000A7340" w:rsidRDefault="00D55A7D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Ministarst</w:t>
      </w:r>
      <w:r w:rsidR="006A7F60">
        <w:rPr>
          <w:rFonts w:ascii="Arial Narrow" w:hAnsi="Arial Narrow"/>
        </w:rPr>
        <w:t xml:space="preserve">vo je financiralo nabavku udžbenika </w:t>
      </w:r>
      <w:r>
        <w:rPr>
          <w:rFonts w:ascii="Arial Narrow" w:hAnsi="Arial Narrow"/>
        </w:rPr>
        <w:t xml:space="preserve"> i lektire za školsku knjižnicu</w:t>
      </w:r>
      <w:r w:rsidR="002E1599">
        <w:rPr>
          <w:rFonts w:ascii="Arial Narrow" w:hAnsi="Arial Narrow"/>
        </w:rPr>
        <w:t xml:space="preserve"> </w:t>
      </w:r>
      <w:r w:rsidR="006D6823">
        <w:rPr>
          <w:rFonts w:ascii="Arial Narrow" w:hAnsi="Arial Narrow"/>
        </w:rPr>
        <w:t xml:space="preserve"> (</w:t>
      </w:r>
      <w:r w:rsidR="00186701">
        <w:rPr>
          <w:rFonts w:ascii="Arial Narrow" w:hAnsi="Arial Narrow"/>
        </w:rPr>
        <w:t>87.712,12</w:t>
      </w:r>
      <w:r w:rsidR="006D6823">
        <w:rPr>
          <w:rFonts w:ascii="Arial Narrow" w:hAnsi="Arial Narrow"/>
        </w:rPr>
        <w:t xml:space="preserve"> kn )</w:t>
      </w:r>
      <w:r>
        <w:rPr>
          <w:rFonts w:ascii="Arial Narrow" w:hAnsi="Arial Narrow"/>
        </w:rPr>
        <w:t>,</w:t>
      </w:r>
      <w:r w:rsidR="00112517">
        <w:rPr>
          <w:rFonts w:ascii="Arial Narrow" w:hAnsi="Arial Narrow"/>
        </w:rPr>
        <w:t xml:space="preserve"> dio sredstava</w:t>
      </w:r>
      <w:r>
        <w:rPr>
          <w:rFonts w:ascii="Arial Narrow" w:hAnsi="Arial Narrow"/>
        </w:rPr>
        <w:t xml:space="preserve"> </w:t>
      </w:r>
      <w:r w:rsidR="002E1599">
        <w:rPr>
          <w:rFonts w:ascii="Arial Narrow" w:hAnsi="Arial Narrow"/>
        </w:rPr>
        <w:t>za lektiru Škola je financirala</w:t>
      </w:r>
      <w:r>
        <w:rPr>
          <w:rFonts w:ascii="Arial Narrow" w:hAnsi="Arial Narrow"/>
        </w:rPr>
        <w:t xml:space="preserve"> iz vlastitih sre</w:t>
      </w:r>
      <w:r w:rsidR="006D6823">
        <w:rPr>
          <w:rFonts w:ascii="Arial Narrow" w:hAnsi="Arial Narrow"/>
        </w:rPr>
        <w:t>dstava (</w:t>
      </w:r>
      <w:r w:rsidR="00186701">
        <w:rPr>
          <w:rFonts w:ascii="Arial Narrow" w:hAnsi="Arial Narrow"/>
        </w:rPr>
        <w:t xml:space="preserve">1.951,48 </w:t>
      </w:r>
      <w:r w:rsidR="006D6823">
        <w:rPr>
          <w:rFonts w:ascii="Arial Narrow" w:hAnsi="Arial Narrow"/>
        </w:rPr>
        <w:t xml:space="preserve"> kn)</w:t>
      </w:r>
      <w:r w:rsidR="002E1599">
        <w:rPr>
          <w:rFonts w:ascii="Arial Narrow" w:hAnsi="Arial Narrow"/>
        </w:rPr>
        <w:t>, a di</w:t>
      </w:r>
      <w:r w:rsidR="00186701">
        <w:rPr>
          <w:rFonts w:ascii="Arial Narrow" w:hAnsi="Arial Narrow"/>
        </w:rPr>
        <w:t>o je financirao grad Sinj (1.765,51</w:t>
      </w:r>
      <w:r w:rsidR="002E1599">
        <w:rPr>
          <w:rFonts w:ascii="Arial Narrow" w:hAnsi="Arial Narrow"/>
        </w:rPr>
        <w:t xml:space="preserve"> kn)</w:t>
      </w:r>
      <w:r w:rsidR="000A7340">
        <w:rPr>
          <w:rFonts w:ascii="Arial Narrow" w:hAnsi="Arial Narrow"/>
        </w:rPr>
        <w:t>.</w:t>
      </w:r>
    </w:p>
    <w:p w:rsidR="00D55A7D" w:rsidRPr="003D26CD" w:rsidRDefault="00D47ECD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Ukupno je </w:t>
      </w:r>
      <w:r w:rsidR="00D55A7D">
        <w:rPr>
          <w:rFonts w:ascii="Arial Narrow" w:hAnsi="Arial Narrow"/>
        </w:rPr>
        <w:t xml:space="preserve"> nabavljeno</w:t>
      </w:r>
      <w:r w:rsidR="00186701">
        <w:rPr>
          <w:rFonts w:ascii="Arial Narrow" w:hAnsi="Arial Narrow"/>
        </w:rPr>
        <w:t xml:space="preserve"> knjiga i vrijednosti od </w:t>
      </w:r>
      <w:r w:rsidR="00D55A7D">
        <w:rPr>
          <w:rFonts w:ascii="Arial Narrow" w:hAnsi="Arial Narrow"/>
        </w:rPr>
        <w:t xml:space="preserve"> </w:t>
      </w:r>
      <w:r w:rsidR="00186701">
        <w:rPr>
          <w:rFonts w:ascii="Arial Narrow" w:hAnsi="Arial Narrow"/>
        </w:rPr>
        <w:t>91.429,11</w:t>
      </w:r>
      <w:r w:rsidR="002E1599">
        <w:rPr>
          <w:rFonts w:ascii="Arial Narrow" w:hAnsi="Arial Narrow"/>
        </w:rPr>
        <w:t xml:space="preserve"> </w:t>
      </w:r>
      <w:r w:rsidR="00D55A7D">
        <w:rPr>
          <w:rFonts w:ascii="Arial Narrow" w:hAnsi="Arial Narrow"/>
        </w:rPr>
        <w:t xml:space="preserve"> kn</w:t>
      </w:r>
      <w:r w:rsidR="004A4860">
        <w:rPr>
          <w:rFonts w:ascii="Arial Narrow" w:hAnsi="Arial Narrow"/>
        </w:rPr>
        <w:t xml:space="preserve"> u 2022. godini, </w:t>
      </w:r>
      <w:r w:rsidR="00D55A7D">
        <w:rPr>
          <w:rFonts w:ascii="Arial Narrow" w:hAnsi="Arial Narrow"/>
        </w:rPr>
        <w:t xml:space="preserve"> </w:t>
      </w:r>
      <w:r w:rsidR="00112517">
        <w:rPr>
          <w:rFonts w:ascii="Arial Narrow" w:hAnsi="Arial Narrow"/>
        </w:rPr>
        <w:t xml:space="preserve">te je istovremeno napravljen i ispravak knjiga u istom iznosu. </w:t>
      </w:r>
    </w:p>
    <w:p w:rsidR="00D55A7D" w:rsidRPr="003D26CD" w:rsidRDefault="00D55A7D" w:rsidP="001F6F4B">
      <w:pPr>
        <w:spacing w:after="120"/>
        <w:rPr>
          <w:rFonts w:ascii="Arial Narrow" w:hAnsi="Arial Narrow"/>
        </w:rPr>
      </w:pPr>
    </w:p>
    <w:p w:rsidR="004B197E" w:rsidRPr="003D26CD" w:rsidRDefault="004B197E" w:rsidP="00E424CE">
      <w:pPr>
        <w:pStyle w:val="Tijeloteksta"/>
        <w:jc w:val="left"/>
        <w:rPr>
          <w:rFonts w:ascii="Arial Narrow" w:hAnsi="Arial Narrow"/>
        </w:rPr>
      </w:pPr>
    </w:p>
    <w:p w:rsidR="00E95EA7" w:rsidRPr="003D26CD" w:rsidRDefault="00EA189B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</w:t>
      </w:r>
      <w:r w:rsidR="00522FA6">
        <w:rPr>
          <w:rFonts w:ascii="Arial Narrow" w:hAnsi="Arial Narrow"/>
          <w:b/>
        </w:rPr>
        <w:t xml:space="preserve">ka uz </w:t>
      </w:r>
      <w:r w:rsidR="00F702C3" w:rsidRPr="003D26CD">
        <w:rPr>
          <w:rFonts w:ascii="Arial Narrow" w:hAnsi="Arial Narrow"/>
          <w:b/>
        </w:rPr>
        <w:t>- Novac u banci i b</w:t>
      </w:r>
      <w:r w:rsidRPr="003D26CD">
        <w:rPr>
          <w:rFonts w:ascii="Arial Narrow" w:hAnsi="Arial Narrow"/>
          <w:b/>
        </w:rPr>
        <w:t>lagajni</w:t>
      </w:r>
    </w:p>
    <w:tbl>
      <w:tblPr>
        <w:tblStyle w:val="Srednjipopis2-Isticanje1"/>
        <w:tblW w:w="5247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54"/>
        <w:gridCol w:w="2172"/>
        <w:gridCol w:w="618"/>
        <w:gridCol w:w="1532"/>
        <w:gridCol w:w="1698"/>
        <w:gridCol w:w="1273"/>
      </w:tblGrid>
      <w:tr w:rsidR="00922FEE" w:rsidRPr="003D26CD" w:rsidTr="00215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E116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1.1.2022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31.12.2022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922FEE" w:rsidRPr="003D26CD" w:rsidTr="0021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EA189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EA189B" w:rsidRPr="003D26CD" w:rsidTr="0021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11</w:t>
            </w:r>
          </w:p>
        </w:tc>
        <w:tc>
          <w:tcPr>
            <w:tcW w:w="1115" w:type="pct"/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Novac u banci i blagajni</w:t>
            </w:r>
          </w:p>
        </w:tc>
        <w:tc>
          <w:tcPr>
            <w:tcW w:w="311" w:type="pct"/>
            <w:vAlign w:val="center"/>
          </w:tcPr>
          <w:p w:rsidR="00EA189B" w:rsidRPr="003D26CD" w:rsidRDefault="009E116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11</w:t>
            </w:r>
          </w:p>
        </w:tc>
        <w:tc>
          <w:tcPr>
            <w:tcW w:w="787" w:type="pct"/>
            <w:vAlign w:val="center"/>
          </w:tcPr>
          <w:p w:rsidR="00EA189B" w:rsidRPr="003D26CD" w:rsidRDefault="002156F7" w:rsidP="0052387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42.267,00</w:t>
            </w:r>
          </w:p>
        </w:tc>
        <w:tc>
          <w:tcPr>
            <w:tcW w:w="872" w:type="pct"/>
            <w:vAlign w:val="center"/>
          </w:tcPr>
          <w:p w:rsidR="00EA189B" w:rsidRPr="003D26CD" w:rsidRDefault="002156F7" w:rsidP="00FF77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32.597,68</w:t>
            </w:r>
          </w:p>
        </w:tc>
        <w:tc>
          <w:tcPr>
            <w:tcW w:w="654" w:type="pct"/>
            <w:vAlign w:val="center"/>
          </w:tcPr>
          <w:p w:rsidR="00EA189B" w:rsidRPr="003D26CD" w:rsidRDefault="000A734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77,1</w:t>
            </w:r>
          </w:p>
        </w:tc>
      </w:tr>
      <w:tr w:rsidR="00922FEE" w:rsidRPr="003D26CD" w:rsidTr="0021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E116A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1111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Novac na računu kod tuzemnih banaka</w:t>
            </w: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1111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D0358D" w:rsidP="004B19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42.074,00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32.597,68</w:t>
            </w: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 xml:space="preserve"> 77,5</w:t>
            </w:r>
          </w:p>
        </w:tc>
      </w:tr>
      <w:tr w:rsidR="00EA189B" w:rsidRPr="003D26CD" w:rsidTr="0021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lastRenderedPageBreak/>
              <w:t>1114</w:t>
            </w:r>
          </w:p>
        </w:tc>
        <w:tc>
          <w:tcPr>
            <w:tcW w:w="1115" w:type="pct"/>
            <w:vAlign w:val="center"/>
          </w:tcPr>
          <w:p w:rsidR="00EA189B" w:rsidRPr="003D26CD" w:rsidRDefault="00EB0A5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Prijelazni račun</w:t>
            </w:r>
          </w:p>
        </w:tc>
        <w:tc>
          <w:tcPr>
            <w:tcW w:w="311" w:type="pct"/>
            <w:vAlign w:val="center"/>
          </w:tcPr>
          <w:p w:rsidR="00EA189B" w:rsidRPr="003D26CD" w:rsidRDefault="009E116A" w:rsidP="00EB0A5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1114</w:t>
            </w:r>
          </w:p>
        </w:tc>
        <w:tc>
          <w:tcPr>
            <w:tcW w:w="787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872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54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  <w:tr w:rsidR="00922FEE" w:rsidRPr="003D26CD" w:rsidTr="0021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E116A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113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Novac u blagajni</w:t>
            </w: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193,00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</w:tbl>
    <w:p w:rsidR="000D38B3" w:rsidRDefault="000D1A89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3D26CD">
        <w:rPr>
          <w:rFonts w:ascii="Arial Narrow" w:hAnsi="Arial Narrow"/>
        </w:rPr>
        <w:t>Posljednjeg dana proračunsk</w:t>
      </w:r>
      <w:r w:rsidR="00D0720F" w:rsidRPr="003D26CD">
        <w:rPr>
          <w:rFonts w:ascii="Arial Narrow" w:hAnsi="Arial Narrow"/>
        </w:rPr>
        <w:t xml:space="preserve">e godine Škola raspolaže s </w:t>
      </w:r>
      <w:r w:rsidR="00754E9F">
        <w:rPr>
          <w:rFonts w:ascii="Arial Narrow" w:hAnsi="Arial Narrow"/>
        </w:rPr>
        <w:t>manjim</w:t>
      </w:r>
      <w:r w:rsidRPr="003D26CD">
        <w:rPr>
          <w:rFonts w:ascii="Arial Narrow" w:hAnsi="Arial Narrow"/>
        </w:rPr>
        <w:t xml:space="preserve"> količinom novca na žiro rač</w:t>
      </w:r>
      <w:r w:rsidR="00D0720F" w:rsidRPr="003D26CD">
        <w:rPr>
          <w:rFonts w:ascii="Arial Narrow" w:hAnsi="Arial Narrow"/>
        </w:rPr>
        <w:t>unu. Isti je predviđen za zakonska pla</w:t>
      </w:r>
      <w:r w:rsidR="00BA6B8A">
        <w:rPr>
          <w:rFonts w:ascii="Arial Narrow" w:hAnsi="Arial Narrow"/>
        </w:rPr>
        <w:t>ćanja .S</w:t>
      </w:r>
      <w:r w:rsidRPr="003D26CD">
        <w:rPr>
          <w:rFonts w:ascii="Arial Narrow" w:hAnsi="Arial Narrow"/>
        </w:rPr>
        <w:t>aldo novca u blagajni</w:t>
      </w:r>
      <w:r w:rsidR="00BA6B8A">
        <w:rPr>
          <w:rFonts w:ascii="Arial Narrow" w:hAnsi="Arial Narrow"/>
        </w:rPr>
        <w:t xml:space="preserve"> je 0,00 kn.</w:t>
      </w:r>
    </w:p>
    <w:p w:rsidR="00B46958" w:rsidRDefault="000D38B3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Novčana sredstva na žiro računu i blagajni</w:t>
      </w:r>
      <w:r w:rsidR="0058655C">
        <w:rPr>
          <w:rFonts w:ascii="Arial Narrow" w:hAnsi="Arial Narrow"/>
        </w:rPr>
        <w:t xml:space="preserve"> smanjena </w:t>
      </w:r>
      <w:r w:rsidR="001D54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su za </w:t>
      </w:r>
      <w:r w:rsidR="00945247">
        <w:rPr>
          <w:rFonts w:ascii="Arial Narrow" w:hAnsi="Arial Narrow"/>
        </w:rPr>
        <w:t>22,9</w:t>
      </w:r>
      <w:r>
        <w:rPr>
          <w:rFonts w:ascii="Arial Narrow" w:hAnsi="Arial Narrow"/>
        </w:rPr>
        <w:t>% u odnosu na počet</w:t>
      </w:r>
      <w:r w:rsidR="00A20961">
        <w:rPr>
          <w:rFonts w:ascii="Arial Narrow" w:hAnsi="Arial Narrow"/>
        </w:rPr>
        <w:t xml:space="preserve">ak godine te ovise i variraju o </w:t>
      </w:r>
      <w:r>
        <w:rPr>
          <w:rFonts w:ascii="Arial Narrow" w:hAnsi="Arial Narrow"/>
        </w:rPr>
        <w:t>podmirenju obveza i ostvaren</w:t>
      </w:r>
      <w:r w:rsidR="006D762F">
        <w:rPr>
          <w:rFonts w:ascii="Arial Narrow" w:hAnsi="Arial Narrow"/>
        </w:rPr>
        <w:t>ju prihoda.</w:t>
      </w:r>
      <w:r w:rsidR="00E16A44" w:rsidRPr="003D26CD">
        <w:rPr>
          <w:rFonts w:ascii="Arial Narrow" w:hAnsi="Arial Narrow"/>
        </w:rPr>
        <w:t xml:space="preserve"> </w:t>
      </w:r>
    </w:p>
    <w:p w:rsidR="00316A8A" w:rsidRPr="0058655C" w:rsidRDefault="00351279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Odlukom o  Izvršenju </w:t>
      </w:r>
      <w:r w:rsidRPr="00B46958">
        <w:rPr>
          <w:rFonts w:ascii="Arial Narrow" w:hAnsi="Arial Narrow"/>
        </w:rPr>
        <w:t>proračuna</w:t>
      </w:r>
      <w:r w:rsidR="006D762F" w:rsidRPr="00B46958">
        <w:rPr>
          <w:rFonts w:ascii="Arial Narrow" w:hAnsi="Arial Narrow"/>
        </w:rPr>
        <w:t xml:space="preserve"> </w:t>
      </w:r>
      <w:r w:rsidR="0058655C">
        <w:rPr>
          <w:rFonts w:ascii="Arial Narrow" w:hAnsi="Arial Narrow"/>
        </w:rPr>
        <w:t>,</w:t>
      </w:r>
      <w:r w:rsidR="006D762F" w:rsidRPr="00B46958">
        <w:rPr>
          <w:rFonts w:ascii="Arial Narrow" w:hAnsi="Arial Narrow"/>
        </w:rPr>
        <w:t>a koja po Odluci o iz</w:t>
      </w:r>
      <w:r w:rsidR="00BA6B8A">
        <w:rPr>
          <w:rFonts w:ascii="Arial Narrow" w:hAnsi="Arial Narrow"/>
        </w:rPr>
        <w:t>vršavanju Proračuna  SDŽ za 2022</w:t>
      </w:r>
      <w:r w:rsidR="006D762F" w:rsidRPr="00B46958">
        <w:rPr>
          <w:rFonts w:ascii="Arial Narrow" w:hAnsi="Arial Narrow"/>
        </w:rPr>
        <w:t>. godinu</w:t>
      </w:r>
      <w:r w:rsidR="0058655C">
        <w:rPr>
          <w:rFonts w:ascii="Arial Narrow" w:hAnsi="Arial Narrow"/>
        </w:rPr>
        <w:t xml:space="preserve"> (</w:t>
      </w:r>
      <w:r w:rsidR="006D762F" w:rsidRPr="00B46958">
        <w:rPr>
          <w:rFonts w:ascii="Arial Narrow" w:hAnsi="Arial Narrow"/>
        </w:rPr>
        <w:t xml:space="preserve"> </w:t>
      </w:r>
      <w:r w:rsidR="0058655C" w:rsidRPr="008004C4">
        <w:rPr>
          <w:b/>
          <w:bCs/>
        </w:rPr>
        <w:t xml:space="preserve">Klasa : 021-04/21-02/153, </w:t>
      </w:r>
      <w:proofErr w:type="spellStart"/>
      <w:r w:rsidR="0058655C" w:rsidRPr="008004C4">
        <w:rPr>
          <w:b/>
          <w:bCs/>
        </w:rPr>
        <w:t>URBroj</w:t>
      </w:r>
      <w:proofErr w:type="spellEnd"/>
      <w:r w:rsidR="0058655C" w:rsidRPr="008004C4">
        <w:rPr>
          <w:b/>
          <w:bCs/>
        </w:rPr>
        <w:t xml:space="preserve">: 2181/1-01-21-1, članak. </w:t>
      </w:r>
      <w:r w:rsidR="0058655C" w:rsidRPr="0058655C">
        <w:rPr>
          <w:b/>
          <w:bCs/>
          <w:i/>
        </w:rPr>
        <w:t>21</w:t>
      </w:r>
      <w:r w:rsidR="0058655C" w:rsidRPr="0058655C">
        <w:rPr>
          <w:rFonts w:ascii="Arial Narrow" w:hAnsi="Arial Narrow"/>
          <w:i/>
        </w:rPr>
        <w:t>)</w:t>
      </w:r>
      <w:r w:rsidR="0058655C">
        <w:rPr>
          <w:rFonts w:ascii="Arial Narrow" w:hAnsi="Arial Narrow"/>
          <w:i/>
          <w:color w:val="FF0000"/>
        </w:rPr>
        <w:t xml:space="preserve"> </w:t>
      </w:r>
      <w:r w:rsidR="003D26CD" w:rsidRPr="0058655C">
        <w:rPr>
          <w:rFonts w:ascii="Arial Narrow" w:hAnsi="Arial Narrow"/>
          <w:i/>
        </w:rPr>
        <w:t>ostaju na žiro računu Škole.</w:t>
      </w:r>
    </w:p>
    <w:p w:rsidR="00AB26E3" w:rsidRPr="00B46958" w:rsidRDefault="00AB26E3" w:rsidP="00B4695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941F9E" w:rsidRPr="003D26CD" w:rsidRDefault="00941F9E" w:rsidP="00051447">
      <w:pPr>
        <w:spacing w:after="120"/>
        <w:rPr>
          <w:rFonts w:ascii="Arial Narrow" w:hAnsi="Arial Narrow"/>
          <w:b/>
        </w:rPr>
      </w:pPr>
    </w:p>
    <w:p w:rsidR="003C1896" w:rsidRPr="003D26CD" w:rsidRDefault="00522FA6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Bilješka uz</w:t>
      </w:r>
      <w:r w:rsidR="008153B1">
        <w:rPr>
          <w:rFonts w:ascii="Arial Narrow" w:hAnsi="Arial Narrow"/>
          <w:b/>
        </w:rPr>
        <w:t xml:space="preserve"> </w:t>
      </w:r>
      <w:r w:rsidR="00676330">
        <w:rPr>
          <w:rFonts w:ascii="Arial Narrow" w:hAnsi="Arial Narrow"/>
          <w:b/>
        </w:rPr>
        <w:t>-</w:t>
      </w:r>
      <w:r w:rsidR="008153B1">
        <w:rPr>
          <w:rFonts w:ascii="Arial Narrow" w:hAnsi="Arial Narrow"/>
          <w:b/>
        </w:rPr>
        <w:t xml:space="preserve"> </w:t>
      </w:r>
      <w:r w:rsidR="00676330">
        <w:rPr>
          <w:rFonts w:ascii="Arial Narrow" w:hAnsi="Arial Narrow"/>
          <w:b/>
        </w:rPr>
        <w:t>Depoziti,</w:t>
      </w:r>
      <w:r w:rsidR="00860E6D">
        <w:rPr>
          <w:rFonts w:ascii="Arial Narrow" w:hAnsi="Arial Narrow"/>
          <w:b/>
        </w:rPr>
        <w:t xml:space="preserve"> </w:t>
      </w:r>
      <w:r w:rsidR="00676330">
        <w:rPr>
          <w:rFonts w:ascii="Arial Narrow" w:hAnsi="Arial Narrow"/>
          <w:b/>
        </w:rPr>
        <w:t>jamčevine i potraživanja od zaposlenih</w:t>
      </w:r>
      <w:r w:rsidR="006D762F">
        <w:rPr>
          <w:rFonts w:ascii="Arial Narrow" w:hAnsi="Arial Narrow"/>
          <w:b/>
        </w:rPr>
        <w:t xml:space="preserve"> </w:t>
      </w:r>
      <w:r w:rsidR="00676330">
        <w:rPr>
          <w:rFonts w:ascii="Arial Narrow" w:hAnsi="Arial Narrow"/>
          <w:b/>
        </w:rPr>
        <w:t xml:space="preserve"> te za više plaćene poreze i ostalo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8"/>
        <w:gridCol w:w="618"/>
        <w:gridCol w:w="1375"/>
        <w:gridCol w:w="1378"/>
        <w:gridCol w:w="1254"/>
      </w:tblGrid>
      <w:tr w:rsidR="00C32AA2" w:rsidRPr="003D26CD" w:rsidTr="003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C32AA2" w:rsidRPr="003D26CD" w:rsidRDefault="00C32AA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E42F3B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1.1.2022</w:t>
            </w:r>
            <w:r w:rsidR="00F27C2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31.12.2022</w:t>
            </w:r>
            <w:r w:rsidR="00C32A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CE22AC" w:rsidRPr="003D26CD" w:rsidTr="0031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CE22AC" w:rsidRPr="003D26CD" w:rsidRDefault="00CE22A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6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3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40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4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75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BA41C3" w:rsidRPr="003D26CD" w:rsidTr="00316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162" w:type="pct"/>
            <w:vAlign w:val="center"/>
          </w:tcPr>
          <w:p w:rsidR="00BA41C3" w:rsidRPr="00CE22AC" w:rsidRDefault="00CE22A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E22AC">
              <w:rPr>
                <w:rFonts w:ascii="Arial Narrow" w:hAnsi="Arial Narrow"/>
                <w:b/>
              </w:rPr>
              <w:t>Depoziti, potraživanja</w:t>
            </w:r>
            <w:r w:rsidR="00E42F3B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E42F3B">
              <w:rPr>
                <w:rFonts w:ascii="Arial Narrow" w:hAnsi="Arial Narrow"/>
                <w:b/>
              </w:rPr>
              <w:t>jamčevni</w:t>
            </w:r>
            <w:proofErr w:type="spellEnd"/>
            <w:r w:rsidR="00E42F3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42F3B">
              <w:rPr>
                <w:rFonts w:ascii="Arial Narrow" w:hAnsi="Arial Narrow"/>
                <w:b/>
              </w:rPr>
              <w:t>polozi</w:t>
            </w:r>
            <w:proofErr w:type="spellEnd"/>
            <w:r w:rsidR="00E42F3B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="00E42F3B">
              <w:rPr>
                <w:rFonts w:ascii="Arial Narrow" w:hAnsi="Arial Narrow"/>
                <w:b/>
              </w:rPr>
              <w:t>potraživamnja</w:t>
            </w:r>
            <w:proofErr w:type="spellEnd"/>
            <w:r w:rsidR="00E42F3B">
              <w:rPr>
                <w:rFonts w:ascii="Arial Narrow" w:hAnsi="Arial Narrow"/>
                <w:b/>
              </w:rPr>
              <w:t xml:space="preserve"> od zaposlenih te za više plaćene poreze i ostalo</w:t>
            </w:r>
          </w:p>
        </w:tc>
        <w:tc>
          <w:tcPr>
            <w:tcW w:w="332" w:type="pct"/>
            <w:vAlign w:val="center"/>
          </w:tcPr>
          <w:p w:rsidR="00BA41C3" w:rsidRPr="00CE22AC" w:rsidRDefault="00E42F3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40" w:type="pct"/>
            <w:vAlign w:val="center"/>
          </w:tcPr>
          <w:p w:rsidR="00BA41C3" w:rsidRPr="00CE22AC" w:rsidRDefault="004631E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79.036,00</w:t>
            </w:r>
          </w:p>
        </w:tc>
        <w:tc>
          <w:tcPr>
            <w:tcW w:w="742" w:type="pct"/>
            <w:vAlign w:val="center"/>
          </w:tcPr>
          <w:p w:rsidR="00BA41C3" w:rsidRPr="00CE22AC" w:rsidRDefault="00FE466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116.177.63</w:t>
            </w:r>
          </w:p>
        </w:tc>
        <w:tc>
          <w:tcPr>
            <w:tcW w:w="675" w:type="pct"/>
            <w:vAlign w:val="center"/>
          </w:tcPr>
          <w:p w:rsidR="00BA41C3" w:rsidRPr="003D26CD" w:rsidRDefault="008201B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147,0</w:t>
            </w:r>
          </w:p>
        </w:tc>
      </w:tr>
      <w:tr w:rsidR="00751661" w:rsidRPr="003D26CD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51661" w:rsidRPr="003D26CD" w:rsidRDefault="00751661" w:rsidP="00A67292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:rsidR="00751661" w:rsidRPr="003D26CD" w:rsidRDefault="007516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Potraživanja od zaposlenih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:rsidR="00751661" w:rsidRPr="003D26CD" w:rsidRDefault="00E42F3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326CF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326CF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326CF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A41C3" w:rsidRPr="003D26CD" w:rsidTr="00674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124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više plaćene poreze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E42F3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4631E6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:rsidR="00BA41C3" w:rsidRPr="00105111" w:rsidRDefault="004631E6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3.402,93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4631E6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32AA2" w:rsidRPr="003D26CD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32AA2" w:rsidRPr="003D26CD" w:rsidRDefault="00BA41C3" w:rsidP="00BA41C3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1162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Ostala potraživanja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E42F3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74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4631E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79.036,00</w:t>
            </w:r>
          </w:p>
        </w:tc>
        <w:tc>
          <w:tcPr>
            <w:tcW w:w="74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FE466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112.774,70</w:t>
            </w:r>
          </w:p>
        </w:tc>
        <w:tc>
          <w:tcPr>
            <w:tcW w:w="67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C32AA2" w:rsidRPr="003D26CD" w:rsidRDefault="008201B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142,7</w:t>
            </w:r>
          </w:p>
        </w:tc>
      </w:tr>
    </w:tbl>
    <w:p w:rsidR="00AC1CAA" w:rsidRPr="003D26CD" w:rsidRDefault="00C32AA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Ostala potraživanja </w:t>
      </w:r>
      <w:r w:rsidR="0025530A" w:rsidRPr="003D26CD">
        <w:rPr>
          <w:rFonts w:ascii="Arial Narrow" w:hAnsi="Arial Narrow"/>
        </w:rPr>
        <w:t>i</w:t>
      </w:r>
      <w:r w:rsidR="003C1896" w:rsidRPr="003D26CD">
        <w:rPr>
          <w:rFonts w:ascii="Arial Narrow" w:hAnsi="Arial Narrow"/>
        </w:rPr>
        <w:t>skazan</w:t>
      </w:r>
      <w:r w:rsidR="00627574" w:rsidRPr="003D26CD">
        <w:rPr>
          <w:rFonts w:ascii="Arial Narrow" w:hAnsi="Arial Narrow"/>
        </w:rPr>
        <w:t xml:space="preserve">a </w:t>
      </w:r>
      <w:r w:rsidR="003C1896" w:rsidRPr="003D26CD">
        <w:rPr>
          <w:rFonts w:ascii="Arial Narrow" w:hAnsi="Arial Narrow"/>
        </w:rPr>
        <w:t xml:space="preserve">su u iznosu </w:t>
      </w:r>
      <w:r w:rsidR="008201B0">
        <w:rPr>
          <w:rFonts w:ascii="Arial Narrow" w:hAnsi="Arial Narrow"/>
        </w:rPr>
        <w:t>116.177,63</w:t>
      </w:r>
      <w:r w:rsidR="003C1896" w:rsidRPr="003D26CD">
        <w:rPr>
          <w:rFonts w:ascii="Arial Narrow" w:hAnsi="Arial Narrow"/>
        </w:rPr>
        <w:t xml:space="preserve"> kn, a odnose se na isplaćena bolovanja </w:t>
      </w:r>
      <w:r w:rsidR="00E21A2F" w:rsidRPr="003D26CD">
        <w:rPr>
          <w:rFonts w:ascii="Arial Narrow" w:hAnsi="Arial Narrow"/>
        </w:rPr>
        <w:t xml:space="preserve">preko 42 dana na teret HZZO koja nisu refundirana i </w:t>
      </w:r>
      <w:r w:rsidR="003C1896" w:rsidRPr="003D26CD">
        <w:rPr>
          <w:rFonts w:ascii="Arial Narrow" w:hAnsi="Arial Narrow"/>
        </w:rPr>
        <w:t xml:space="preserve"> za koje su iskaz</w:t>
      </w:r>
      <w:r w:rsidR="00E0128A">
        <w:rPr>
          <w:rFonts w:ascii="Arial Narrow" w:hAnsi="Arial Narrow"/>
        </w:rPr>
        <w:t>na potraživanja na poziciji 129 i potraživanja za više plaćene poreze po godišnjem obračunu poreza na dohodak.</w:t>
      </w:r>
      <w:r w:rsidR="00E21A2F" w:rsidRPr="003D26CD">
        <w:rPr>
          <w:rFonts w:ascii="Arial Narrow" w:hAnsi="Arial Narrow"/>
        </w:rPr>
        <w:t xml:space="preserve"> D</w:t>
      </w:r>
      <w:r w:rsidRPr="003D26CD">
        <w:rPr>
          <w:rFonts w:ascii="Arial Narrow" w:hAnsi="Arial Narrow"/>
        </w:rPr>
        <w:t xml:space="preserve">ošlo je do </w:t>
      </w:r>
      <w:r w:rsidR="00E21A2F" w:rsidRPr="003D26CD">
        <w:rPr>
          <w:rFonts w:ascii="Arial Narrow" w:hAnsi="Arial Narrow"/>
        </w:rPr>
        <w:t xml:space="preserve">povećanja </w:t>
      </w:r>
      <w:r w:rsidRPr="003D26CD">
        <w:rPr>
          <w:rFonts w:ascii="Arial Narrow" w:hAnsi="Arial Narrow"/>
        </w:rPr>
        <w:t xml:space="preserve"> navedenih potraživanja na kraju razdoblja u odno</w:t>
      </w:r>
      <w:r w:rsidR="00E21A2F" w:rsidRPr="003D26CD">
        <w:rPr>
          <w:rFonts w:ascii="Arial Narrow" w:hAnsi="Arial Narrow"/>
        </w:rPr>
        <w:t xml:space="preserve">su na početak razdoblja za </w:t>
      </w:r>
      <w:r w:rsidR="003D26CD">
        <w:rPr>
          <w:rFonts w:ascii="Arial Narrow" w:hAnsi="Arial Narrow"/>
        </w:rPr>
        <w:t xml:space="preserve"> </w:t>
      </w:r>
      <w:r w:rsidR="008201B0">
        <w:rPr>
          <w:rFonts w:ascii="Arial Narrow" w:hAnsi="Arial Narrow"/>
        </w:rPr>
        <w:t>47,0</w:t>
      </w:r>
      <w:r w:rsidR="00E0128A">
        <w:rPr>
          <w:rFonts w:ascii="Arial Narrow" w:hAnsi="Arial Narrow"/>
        </w:rPr>
        <w:t>%.</w:t>
      </w:r>
      <w:r w:rsidR="00DE7E72">
        <w:rPr>
          <w:rFonts w:ascii="Arial Narrow" w:hAnsi="Arial Narrow"/>
        </w:rPr>
        <w:t xml:space="preserve"> </w:t>
      </w:r>
    </w:p>
    <w:p w:rsidR="00941F9E" w:rsidRDefault="00941F9E" w:rsidP="00941F9E">
      <w:pPr>
        <w:tabs>
          <w:tab w:val="left" w:pos="960"/>
        </w:tabs>
        <w:spacing w:after="120"/>
        <w:rPr>
          <w:rFonts w:ascii="Arial Narrow" w:hAnsi="Arial Narrow"/>
        </w:rPr>
      </w:pPr>
    </w:p>
    <w:p w:rsidR="00CE22AC" w:rsidRDefault="00CE22AC" w:rsidP="00651039">
      <w:pPr>
        <w:tabs>
          <w:tab w:val="left" w:pos="2550"/>
        </w:tabs>
        <w:spacing w:after="120"/>
        <w:rPr>
          <w:rFonts w:ascii="Arial Narrow" w:hAnsi="Arial Narrow"/>
        </w:rPr>
      </w:pPr>
    </w:p>
    <w:p w:rsidR="000B47B3" w:rsidRPr="003D26CD" w:rsidRDefault="000B47B3" w:rsidP="00651039">
      <w:pPr>
        <w:tabs>
          <w:tab w:val="left" w:pos="2550"/>
        </w:tabs>
        <w:spacing w:after="120"/>
        <w:rPr>
          <w:rFonts w:ascii="Arial Narrow" w:hAnsi="Arial Narrow"/>
        </w:rPr>
      </w:pPr>
    </w:p>
    <w:p w:rsidR="008415A5" w:rsidRPr="003D26CD" w:rsidRDefault="008153B1" w:rsidP="008415A5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Bilješka uz </w:t>
      </w:r>
      <w:r w:rsidR="00F316E9" w:rsidRPr="003D26CD">
        <w:rPr>
          <w:rFonts w:ascii="Arial Narrow" w:hAnsi="Arial Narrow"/>
          <w:b/>
        </w:rPr>
        <w:t xml:space="preserve"> -</w:t>
      </w:r>
      <w:r w:rsidR="008415A5" w:rsidRPr="003D26CD">
        <w:rPr>
          <w:rFonts w:ascii="Arial Narrow" w:hAnsi="Arial Narrow"/>
          <w:b/>
        </w:rPr>
        <w:t xml:space="preserve">  Potr</w:t>
      </w:r>
      <w:r w:rsidR="00F316E9" w:rsidRPr="003D26CD">
        <w:rPr>
          <w:rFonts w:ascii="Arial Narrow" w:hAnsi="Arial Narrow"/>
          <w:b/>
        </w:rPr>
        <w:t>aživanja za prihode poslovanja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54"/>
        <w:gridCol w:w="2171"/>
        <w:gridCol w:w="618"/>
        <w:gridCol w:w="1387"/>
        <w:gridCol w:w="1391"/>
        <w:gridCol w:w="1267"/>
      </w:tblGrid>
      <w:tr w:rsidR="008415A5" w:rsidRPr="003D26CD" w:rsidTr="0052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8415A5" w:rsidRPr="003D26CD" w:rsidRDefault="008415A5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E95A0C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BA6B8A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1.1.2022</w:t>
            </w:r>
            <w:r w:rsidR="008415A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BA6B8A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31.12.2022</w:t>
            </w:r>
            <w:r w:rsidR="008415A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8415A5" w:rsidRPr="003D26CD" w:rsidTr="0052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8415A5" w:rsidRPr="003D26CD" w:rsidRDefault="00237CD4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7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8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237CD4" w:rsidRPr="003D26CD" w:rsidTr="0052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37CD4" w:rsidRPr="003D26CD" w:rsidRDefault="00237CD4" w:rsidP="009E446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17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A54111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Potraživanja za prihode poslovanja</w:t>
            </w:r>
          </w:p>
        </w:tc>
        <w:tc>
          <w:tcPr>
            <w:tcW w:w="327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E95A0C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748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0B47B3" w:rsidP="00840C9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0B47B3" w:rsidP="00941F9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530,00</w:t>
            </w:r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37CD4" w:rsidRPr="003D26CD" w:rsidRDefault="000A7340" w:rsidP="00E9442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415A5" w:rsidRPr="003D26CD" w:rsidTr="0052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8415A5" w:rsidRPr="00E95A0C" w:rsidRDefault="008415A5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E95A0C">
              <w:rPr>
                <w:rFonts w:ascii="Arial Narrow" w:eastAsiaTheme="minorEastAsia" w:hAnsi="Arial Narrow" w:cstheme="minorBidi"/>
                <w:b/>
                <w:color w:val="auto"/>
              </w:rPr>
              <w:t>163</w:t>
            </w:r>
          </w:p>
        </w:tc>
        <w:tc>
          <w:tcPr>
            <w:tcW w:w="117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E95A0C" w:rsidRDefault="00AB26E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E95A0C">
              <w:rPr>
                <w:rFonts w:ascii="Arial Narrow" w:eastAsiaTheme="minorEastAsia" w:hAnsi="Arial Narrow" w:cstheme="minorBidi"/>
                <w:b/>
                <w:color w:val="auto"/>
              </w:rPr>
              <w:t>Potraživanja za pomoći iz inozemstva i od subjekata unutar općeg proračuna</w:t>
            </w:r>
            <w:r w:rsidR="008415A5" w:rsidRPr="00E95A0C">
              <w:rPr>
                <w:rFonts w:ascii="Arial Narrow" w:eastAsiaTheme="minorEastAsia" w:hAnsi="Arial Narrow" w:cstheme="minorBidi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E95A0C" w:rsidRDefault="00E95A0C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E95A0C">
              <w:rPr>
                <w:rFonts w:ascii="Arial Narrow" w:eastAsiaTheme="minorEastAsia" w:hAnsi="Arial Narrow" w:cstheme="minorBidi"/>
                <w:b/>
                <w:color w:val="auto"/>
              </w:rPr>
              <w:t>163</w:t>
            </w:r>
          </w:p>
        </w:tc>
        <w:tc>
          <w:tcPr>
            <w:tcW w:w="74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E95A0C" w:rsidRDefault="000B47B3" w:rsidP="00CE0D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E95A0C"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E95A0C" w:rsidRDefault="00135D03" w:rsidP="00135D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E95A0C"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E95A0C" w:rsidRDefault="000A7340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E95A0C"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</w:tr>
      <w:tr w:rsidR="00AB26E3" w:rsidRPr="003D26CD" w:rsidTr="0052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AB26E3" w:rsidRPr="003D26CD" w:rsidRDefault="00FE415E" w:rsidP="009E4461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1636</w:t>
            </w:r>
          </w:p>
        </w:tc>
        <w:tc>
          <w:tcPr>
            <w:tcW w:w="11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Potraživanja za pomoći proračunskim korisnicima iz proračuna </w:t>
            </w:r>
            <w:r w:rsidRPr="003D26CD">
              <w:rPr>
                <w:rFonts w:ascii="Arial Narrow" w:hAnsi="Arial Narrow"/>
              </w:rPr>
              <w:lastRenderedPageBreak/>
              <w:t>koji im nije nadležan</w:t>
            </w:r>
          </w:p>
        </w:tc>
        <w:tc>
          <w:tcPr>
            <w:tcW w:w="32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E95A0C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1636</w:t>
            </w:r>
          </w:p>
        </w:tc>
        <w:tc>
          <w:tcPr>
            <w:tcW w:w="748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0B47B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135D0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B26E3" w:rsidRPr="003D26CD" w:rsidRDefault="000A7340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B26E3" w:rsidRPr="003D26CD" w:rsidTr="0052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</w:tcPr>
          <w:p w:rsidR="00AB26E3" w:rsidRPr="003D26CD" w:rsidRDefault="00FE415E" w:rsidP="009E4461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lastRenderedPageBreak/>
              <w:t>1638</w:t>
            </w:r>
          </w:p>
        </w:tc>
        <w:tc>
          <w:tcPr>
            <w:tcW w:w="1170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pomoći iz državnog proračuna temeljem prijenosa EU sredstava</w:t>
            </w:r>
          </w:p>
        </w:tc>
        <w:tc>
          <w:tcPr>
            <w:tcW w:w="327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E95A0C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1638</w:t>
            </w:r>
          </w:p>
        </w:tc>
        <w:tc>
          <w:tcPr>
            <w:tcW w:w="748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0B47B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50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135D0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83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0A7340" w:rsidP="00135D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316E9" w:rsidRPr="003D26CD" w:rsidTr="0052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F316E9" w:rsidRPr="00A21430" w:rsidRDefault="00F316E9" w:rsidP="009E4461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A21430">
              <w:rPr>
                <w:rFonts w:ascii="Arial Narrow" w:hAnsi="Arial Narrow"/>
                <w:b/>
              </w:rPr>
              <w:t>166</w:t>
            </w:r>
          </w:p>
        </w:tc>
        <w:tc>
          <w:tcPr>
            <w:tcW w:w="117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A21430" w:rsidRDefault="00F316E9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21430">
              <w:rPr>
                <w:rFonts w:ascii="Arial Narrow" w:hAnsi="Arial Narrow"/>
                <w:b/>
              </w:rPr>
              <w:t xml:space="preserve">Potraživanje za </w:t>
            </w:r>
            <w:r w:rsidR="00A21430">
              <w:rPr>
                <w:rFonts w:ascii="Arial Narrow" w:hAnsi="Arial Narrow"/>
                <w:b/>
              </w:rPr>
              <w:t>prihode od prodaje proizvoda i robe te pruženih usluga</w:t>
            </w:r>
          </w:p>
        </w:tc>
        <w:tc>
          <w:tcPr>
            <w:tcW w:w="32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A21430" w:rsidRDefault="00E95A0C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21430">
              <w:rPr>
                <w:rFonts w:ascii="Arial Narrow" w:hAnsi="Arial Narrow"/>
                <w:b/>
              </w:rPr>
              <w:t>166</w:t>
            </w:r>
          </w:p>
        </w:tc>
        <w:tc>
          <w:tcPr>
            <w:tcW w:w="748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A21430" w:rsidRDefault="00840C98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21430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A21430" w:rsidRDefault="000B47B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21430">
              <w:rPr>
                <w:rFonts w:ascii="Arial Narrow" w:hAnsi="Arial Narrow"/>
                <w:b/>
              </w:rPr>
              <w:t>530,00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F316E9" w:rsidRPr="003D26CD" w:rsidRDefault="00941F9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541EFD" w:rsidRDefault="0044011C" w:rsidP="005F21D2">
      <w:pPr>
        <w:pStyle w:val="Tijeloteksta"/>
        <w:jc w:val="left"/>
        <w:rPr>
          <w:rFonts w:ascii="Arial Narrow" w:hAnsi="Arial Narrow"/>
          <w:b w:val="0"/>
        </w:rPr>
      </w:pPr>
      <w:r w:rsidRPr="003D26CD">
        <w:rPr>
          <w:rFonts w:ascii="Arial Narrow" w:hAnsi="Arial Narrow"/>
          <w:b w:val="0"/>
        </w:rPr>
        <w:t xml:space="preserve"> </w:t>
      </w:r>
      <w:r w:rsidR="005F21D2">
        <w:rPr>
          <w:rFonts w:ascii="Arial Narrow" w:hAnsi="Arial Narrow"/>
          <w:b w:val="0"/>
        </w:rPr>
        <w:t xml:space="preserve">Na kraju obračunskog razdoblja, 31.12.2022. godine iskazano je potraživanje za prihode od prodaje roba i usluga u iznosu 530,00 kn ( najamnina </w:t>
      </w:r>
      <w:r w:rsidR="000B6364">
        <w:rPr>
          <w:rFonts w:ascii="Arial Narrow" w:hAnsi="Arial Narrow"/>
          <w:b w:val="0"/>
        </w:rPr>
        <w:t>za 12/2022. godine naplaćeno u siječnju</w:t>
      </w:r>
      <w:r w:rsidR="005F21D2">
        <w:rPr>
          <w:rFonts w:ascii="Arial Narrow" w:hAnsi="Arial Narrow"/>
          <w:b w:val="0"/>
        </w:rPr>
        <w:t xml:space="preserve"> 2023. godine).</w:t>
      </w:r>
    </w:p>
    <w:p w:rsidR="00941F9E" w:rsidRDefault="00941F9E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674A58" w:rsidRDefault="00674A58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674A58" w:rsidRDefault="00674A58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941F9E" w:rsidRPr="003D26CD" w:rsidRDefault="00941F9E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A00410" w:rsidRPr="003D26CD" w:rsidRDefault="00A00410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</w:t>
      </w:r>
      <w:r w:rsidR="005F21D2">
        <w:rPr>
          <w:rFonts w:ascii="Arial Narrow" w:hAnsi="Arial Narrow"/>
          <w:b/>
        </w:rPr>
        <w:t xml:space="preserve">ilješka uz </w:t>
      </w:r>
      <w:r w:rsidR="005851F7">
        <w:rPr>
          <w:rFonts w:ascii="Arial Narrow" w:hAnsi="Arial Narrow"/>
          <w:b/>
        </w:rPr>
        <w:t xml:space="preserve"> </w:t>
      </w:r>
      <w:r w:rsidRPr="003D26CD">
        <w:rPr>
          <w:rFonts w:ascii="Arial Narrow" w:hAnsi="Arial Narrow"/>
          <w:b/>
        </w:rPr>
        <w:t>- Kontinuirani rashodi budućih razdoblja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8"/>
        <w:gridCol w:w="618"/>
        <w:gridCol w:w="1375"/>
        <w:gridCol w:w="1378"/>
        <w:gridCol w:w="1254"/>
      </w:tblGrid>
      <w:tr w:rsidR="00A00410" w:rsidRPr="003D26CD" w:rsidTr="0061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D2E0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BA6B8A" w:rsidP="00D34B4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1.1.2022</w:t>
            </w:r>
            <w:r w:rsidR="0029756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D34B44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</w:t>
            </w:r>
            <w:r w:rsidR="00BA6B8A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22</w:t>
            </w:r>
            <w:r w:rsidR="00A0041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A00410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611232" w:rsidRPr="003D26CD" w:rsidTr="00611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F52FA5" w:rsidRDefault="0061123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F52FA5">
              <w:rPr>
                <w:rFonts w:ascii="Arial Narrow" w:eastAsiaTheme="minorEastAsia" w:hAnsi="Arial Narrow" w:cstheme="minorBidi"/>
                <w:b/>
                <w:color w:val="auto"/>
              </w:rPr>
              <w:t>19</w:t>
            </w:r>
          </w:p>
        </w:tc>
        <w:tc>
          <w:tcPr>
            <w:tcW w:w="1162" w:type="pct"/>
            <w:vAlign w:val="center"/>
          </w:tcPr>
          <w:p w:rsidR="00611232" w:rsidRPr="00AD2E0A" w:rsidRDefault="006112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AD2E0A">
              <w:rPr>
                <w:rFonts w:ascii="Arial Narrow" w:eastAsiaTheme="minorEastAsia" w:hAnsi="Arial Narrow" w:cstheme="minorBidi"/>
                <w:b/>
                <w:color w:val="auto"/>
              </w:rPr>
              <w:t>Rashodi budućih razdoblja i nedospjela naplata prihoda</w:t>
            </w:r>
          </w:p>
        </w:tc>
        <w:tc>
          <w:tcPr>
            <w:tcW w:w="332" w:type="pct"/>
            <w:vAlign w:val="center"/>
          </w:tcPr>
          <w:p w:rsidR="00611232" w:rsidRPr="00F52FA5" w:rsidRDefault="00AD2E0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19</w:t>
            </w:r>
          </w:p>
        </w:tc>
        <w:tc>
          <w:tcPr>
            <w:tcW w:w="740" w:type="pct"/>
            <w:vAlign w:val="center"/>
          </w:tcPr>
          <w:p w:rsidR="00611232" w:rsidRPr="00F52FA5" w:rsidRDefault="000B47B3" w:rsidP="00A648C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424.470,00</w:t>
            </w:r>
          </w:p>
        </w:tc>
        <w:tc>
          <w:tcPr>
            <w:tcW w:w="742" w:type="pct"/>
            <w:vAlign w:val="center"/>
          </w:tcPr>
          <w:p w:rsidR="00611232" w:rsidRPr="00F52FA5" w:rsidRDefault="000B47B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472.413,15</w:t>
            </w:r>
          </w:p>
        </w:tc>
        <w:tc>
          <w:tcPr>
            <w:tcW w:w="675" w:type="pct"/>
            <w:vAlign w:val="center"/>
          </w:tcPr>
          <w:p w:rsidR="00611232" w:rsidRPr="00F52FA5" w:rsidRDefault="000B47B3" w:rsidP="001A0F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111,3</w:t>
            </w:r>
          </w:p>
        </w:tc>
      </w:tr>
      <w:tr w:rsidR="00611232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3D26CD" w:rsidRDefault="00F52FA5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193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Kontinuirani rashodi budućih razdoblja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AD2E0A" w:rsidP="00F52FA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193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0B47B3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424.470,00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0B47B3" w:rsidP="004B538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472.413,15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232" w:rsidRPr="003D26CD" w:rsidRDefault="000B47B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111,3</w:t>
            </w:r>
          </w:p>
        </w:tc>
      </w:tr>
    </w:tbl>
    <w:p w:rsidR="00674A58" w:rsidRPr="00BD0C36" w:rsidRDefault="001C23D2" w:rsidP="00B26B1C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Sukladno članku 39.st. 2. Pravilnika o proračunskom računovodstvu škola je evidentirala kontin</w:t>
      </w:r>
      <w:r w:rsidR="00956C40" w:rsidRPr="003D26CD">
        <w:rPr>
          <w:rFonts w:ascii="Arial Narrow" w:hAnsi="Arial Narrow"/>
        </w:rPr>
        <w:t>uiran</w:t>
      </w:r>
      <w:r w:rsidR="00C603C8">
        <w:rPr>
          <w:rFonts w:ascii="Arial Narrow" w:hAnsi="Arial Narrow"/>
        </w:rPr>
        <w:t>e rashode za prosinac 202</w:t>
      </w:r>
      <w:r w:rsidR="005F21D2">
        <w:rPr>
          <w:rFonts w:ascii="Arial Narrow" w:hAnsi="Arial Narrow"/>
        </w:rPr>
        <w:t>2</w:t>
      </w:r>
      <w:r w:rsidRPr="003D26CD">
        <w:rPr>
          <w:rFonts w:ascii="Arial Narrow" w:hAnsi="Arial Narrow"/>
        </w:rPr>
        <w:t xml:space="preserve"> godine. </w:t>
      </w:r>
      <w:r w:rsidR="005F21D2">
        <w:rPr>
          <w:rFonts w:ascii="Arial Narrow" w:hAnsi="Arial Narrow"/>
        </w:rPr>
        <w:t xml:space="preserve">Podatak iskazan na ovoj  poziciji </w:t>
      </w:r>
      <w:r w:rsidRPr="003D26CD">
        <w:rPr>
          <w:rFonts w:ascii="Arial Narrow" w:hAnsi="Arial Narrow"/>
        </w:rPr>
        <w:t xml:space="preserve"> odnosi se na plaću 12/</w:t>
      </w:r>
      <w:r w:rsidR="005F21D2">
        <w:rPr>
          <w:rFonts w:ascii="Arial Narrow" w:hAnsi="Arial Narrow"/>
        </w:rPr>
        <w:t>2022</w:t>
      </w:r>
      <w:r w:rsidR="00B26B1C" w:rsidRPr="003D26CD">
        <w:rPr>
          <w:rFonts w:ascii="Arial Narrow" w:hAnsi="Arial Narrow"/>
        </w:rPr>
        <w:t>. (</w:t>
      </w:r>
      <w:r w:rsidR="005F21D2">
        <w:rPr>
          <w:rFonts w:ascii="Arial Narrow" w:hAnsi="Arial Narrow"/>
        </w:rPr>
        <w:t>451.757,40</w:t>
      </w:r>
      <w:r w:rsidR="00474739" w:rsidRPr="003D26CD">
        <w:rPr>
          <w:rFonts w:ascii="Arial Narrow" w:hAnsi="Arial Narrow"/>
        </w:rPr>
        <w:t xml:space="preserve"> kn) </w:t>
      </w:r>
      <w:r w:rsidR="005F21D2">
        <w:rPr>
          <w:rFonts w:ascii="Arial Narrow" w:hAnsi="Arial Narrow"/>
        </w:rPr>
        <w:t>, struja 12/2022</w:t>
      </w:r>
      <w:r w:rsidR="00CA1462" w:rsidRPr="003D26CD">
        <w:rPr>
          <w:rFonts w:ascii="Arial Narrow" w:hAnsi="Arial Narrow"/>
        </w:rPr>
        <w:t>. godine</w:t>
      </w:r>
      <w:r w:rsidR="004B5387" w:rsidRPr="003D26CD">
        <w:rPr>
          <w:rFonts w:ascii="Arial Narrow" w:hAnsi="Arial Narrow"/>
        </w:rPr>
        <w:t xml:space="preserve"> (</w:t>
      </w:r>
      <w:r w:rsidR="005F21D2">
        <w:rPr>
          <w:rFonts w:ascii="Arial Narrow" w:hAnsi="Arial Narrow"/>
        </w:rPr>
        <w:t>13.235,40</w:t>
      </w:r>
      <w:r w:rsidR="00202BEA">
        <w:rPr>
          <w:rFonts w:ascii="Arial Narrow" w:hAnsi="Arial Narrow"/>
        </w:rPr>
        <w:t xml:space="preserve"> kn) te pomoćnik u nastavi</w:t>
      </w:r>
      <w:r w:rsidR="0004293C">
        <w:rPr>
          <w:rFonts w:ascii="Arial Narrow" w:hAnsi="Arial Narrow"/>
        </w:rPr>
        <w:t xml:space="preserve"> i e-tehničar 12/2021</w:t>
      </w:r>
      <w:r w:rsidR="00202BEA">
        <w:rPr>
          <w:rFonts w:ascii="Arial Narrow" w:hAnsi="Arial Narrow"/>
        </w:rPr>
        <w:t xml:space="preserve"> </w:t>
      </w:r>
      <w:r w:rsidR="005F21D2">
        <w:rPr>
          <w:rFonts w:ascii="Arial Narrow" w:hAnsi="Arial Narrow"/>
        </w:rPr>
        <w:t>(7.420,35</w:t>
      </w:r>
      <w:r w:rsidR="00B26B1C" w:rsidRPr="003D26CD">
        <w:rPr>
          <w:rFonts w:ascii="Arial Narrow" w:hAnsi="Arial Narrow"/>
        </w:rPr>
        <w:t xml:space="preserve"> </w:t>
      </w:r>
      <w:r w:rsidR="00202BEA">
        <w:rPr>
          <w:rFonts w:ascii="Arial Narrow" w:hAnsi="Arial Narrow"/>
        </w:rPr>
        <w:t xml:space="preserve"> </w:t>
      </w:r>
      <w:r w:rsidR="00B26B1C" w:rsidRPr="003D26CD">
        <w:rPr>
          <w:rFonts w:ascii="Arial Narrow" w:hAnsi="Arial Narrow"/>
        </w:rPr>
        <w:t>kn)</w:t>
      </w:r>
    </w:p>
    <w:p w:rsidR="00674A58" w:rsidRDefault="00674A58" w:rsidP="00B26B1C">
      <w:pPr>
        <w:spacing w:after="120"/>
        <w:rPr>
          <w:rFonts w:ascii="Arial Narrow" w:hAnsi="Arial Narrow"/>
          <w:b/>
        </w:rPr>
      </w:pPr>
    </w:p>
    <w:p w:rsidR="00674A58" w:rsidRPr="003D26CD" w:rsidRDefault="00674A58" w:rsidP="00B26B1C">
      <w:pPr>
        <w:spacing w:after="120"/>
        <w:rPr>
          <w:rFonts w:ascii="Arial Narrow" w:hAnsi="Arial Narrow"/>
          <w:b/>
        </w:rPr>
      </w:pPr>
    </w:p>
    <w:p w:rsidR="00525229" w:rsidRPr="003D26CD" w:rsidRDefault="000C347D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Bilješka uz </w:t>
      </w:r>
      <w:r w:rsidR="00022AF2" w:rsidRPr="003D26CD">
        <w:rPr>
          <w:rFonts w:ascii="Arial Narrow" w:hAnsi="Arial Narrow"/>
          <w:b/>
        </w:rPr>
        <w:t xml:space="preserve">- </w:t>
      </w:r>
      <w:r w:rsidR="003C1896" w:rsidRPr="003D26CD">
        <w:rPr>
          <w:rFonts w:ascii="Arial Narrow" w:hAnsi="Arial Narrow"/>
          <w:b/>
        </w:rPr>
        <w:t xml:space="preserve"> Obveze za rashode poslovanja</w:t>
      </w:r>
      <w:r w:rsidR="0057344B">
        <w:rPr>
          <w:rFonts w:ascii="Arial Narrow" w:hAnsi="Arial Narrow"/>
          <w:b/>
        </w:rPr>
        <w:t xml:space="preserve"> </w:t>
      </w:r>
    </w:p>
    <w:tbl>
      <w:tblPr>
        <w:tblStyle w:val="Srednjipopis2-Isticanje1"/>
        <w:tblW w:w="524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51"/>
        <w:gridCol w:w="2670"/>
        <w:gridCol w:w="618"/>
        <w:gridCol w:w="1675"/>
        <w:gridCol w:w="1562"/>
        <w:gridCol w:w="1260"/>
      </w:tblGrid>
      <w:tr w:rsidR="00611511" w:rsidRPr="003D26CD" w:rsidTr="00C0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CC7CC7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Račun iz </w:t>
            </w:r>
            <w:r w:rsidR="0061151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60804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BA6B8A" w:rsidP="008C132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2022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2022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611511" w:rsidRPr="003D26CD" w:rsidTr="00C072FC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57628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2</w:t>
            </w:r>
          </w:p>
        </w:tc>
        <w:tc>
          <w:tcPr>
            <w:tcW w:w="1371" w:type="pct"/>
            <w:vAlign w:val="center"/>
          </w:tcPr>
          <w:p w:rsidR="00611511" w:rsidRPr="003D26CD" w:rsidRDefault="0065762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Obveze</w:t>
            </w:r>
          </w:p>
        </w:tc>
        <w:tc>
          <w:tcPr>
            <w:tcW w:w="317" w:type="pct"/>
            <w:vAlign w:val="center"/>
          </w:tcPr>
          <w:p w:rsidR="003C6B67" w:rsidRPr="003D26CD" w:rsidRDefault="0066080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2</w:t>
            </w:r>
          </w:p>
          <w:p w:rsidR="00611511" w:rsidRPr="003D26CD" w:rsidRDefault="00611511" w:rsidP="005267C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60" w:type="pct"/>
            <w:vAlign w:val="center"/>
          </w:tcPr>
          <w:p w:rsidR="00611511" w:rsidRPr="003D26CD" w:rsidRDefault="00CE15A6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585.793,00</w:t>
            </w:r>
          </w:p>
        </w:tc>
        <w:tc>
          <w:tcPr>
            <w:tcW w:w="802" w:type="pct"/>
            <w:vAlign w:val="center"/>
          </w:tcPr>
          <w:p w:rsidR="00611511" w:rsidRPr="00157057" w:rsidRDefault="00526C5B" w:rsidP="008912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712.594,46</w:t>
            </w:r>
          </w:p>
        </w:tc>
        <w:tc>
          <w:tcPr>
            <w:tcW w:w="647" w:type="pct"/>
            <w:vAlign w:val="center"/>
          </w:tcPr>
          <w:p w:rsidR="00611511" w:rsidRPr="003D26CD" w:rsidRDefault="008201B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121,6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D84EC3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23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Obveze za rashode poslovanja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66080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23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CE15A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585.793,00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526C5B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712.594,46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7C740C" w:rsidRDefault="008201B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121,6</w:t>
            </w:r>
          </w:p>
        </w:tc>
      </w:tr>
      <w:tr w:rsidR="00611511" w:rsidRPr="003D26CD" w:rsidTr="00C072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231</w:t>
            </w:r>
          </w:p>
        </w:tc>
        <w:tc>
          <w:tcPr>
            <w:tcW w:w="1371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zaposlene</w:t>
            </w:r>
          </w:p>
        </w:tc>
        <w:tc>
          <w:tcPr>
            <w:tcW w:w="317" w:type="pct"/>
            <w:vAlign w:val="center"/>
          </w:tcPr>
          <w:p w:rsidR="00611511" w:rsidRPr="003D26CD" w:rsidRDefault="0066080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231</w:t>
            </w:r>
          </w:p>
        </w:tc>
        <w:tc>
          <w:tcPr>
            <w:tcW w:w="860" w:type="pct"/>
            <w:vAlign w:val="center"/>
          </w:tcPr>
          <w:p w:rsidR="00611511" w:rsidRPr="003D26CD" w:rsidRDefault="00633944" w:rsidP="00F27C2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445.780,95</w:t>
            </w:r>
          </w:p>
        </w:tc>
        <w:tc>
          <w:tcPr>
            <w:tcW w:w="802" w:type="pct"/>
            <w:vAlign w:val="center"/>
          </w:tcPr>
          <w:p w:rsidR="00611511" w:rsidRPr="00157057" w:rsidRDefault="008D61D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 w:rsidRPr="008D61DE">
              <w:rPr>
                <w:rFonts w:ascii="Arial Narrow" w:eastAsiaTheme="minorEastAsia" w:hAnsi="Arial Narrow" w:cstheme="minorBidi"/>
                <w:color w:val="auto"/>
              </w:rPr>
              <w:t>485.452,36</w:t>
            </w:r>
          </w:p>
        </w:tc>
        <w:tc>
          <w:tcPr>
            <w:tcW w:w="647" w:type="pct"/>
            <w:vAlign w:val="center"/>
          </w:tcPr>
          <w:p w:rsidR="00611511" w:rsidRPr="003D26CD" w:rsidRDefault="008D61D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108,9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232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materijalne rashode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6080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232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CE15A6" w:rsidP="001812B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71.725,00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8D61DE" w:rsidRDefault="008D61DE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8D61DE">
              <w:rPr>
                <w:rFonts w:ascii="Arial Narrow" w:eastAsiaTheme="minorEastAsia" w:hAnsi="Arial Narrow" w:cstheme="minorBidi"/>
                <w:color w:val="auto"/>
              </w:rPr>
              <w:t>120.473,04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8D61DE" w:rsidRDefault="008D61D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8D61DE">
              <w:rPr>
                <w:rFonts w:ascii="Arial Narrow" w:eastAsiaTheme="minorEastAsia" w:hAnsi="Arial Narrow" w:cstheme="minorBidi"/>
                <w:color w:val="auto"/>
              </w:rPr>
              <w:t>168,0</w:t>
            </w:r>
          </w:p>
        </w:tc>
      </w:tr>
      <w:tr w:rsidR="007E2143" w:rsidRPr="003D26CD" w:rsidTr="00C072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E2143" w:rsidRPr="003D26CD" w:rsidRDefault="00FF731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234</w:t>
            </w:r>
          </w:p>
        </w:tc>
        <w:tc>
          <w:tcPr>
            <w:tcW w:w="1371" w:type="pct"/>
            <w:vAlign w:val="center"/>
          </w:tcPr>
          <w:p w:rsidR="007E2143" w:rsidRPr="003D26CD" w:rsidRDefault="007E214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317" w:type="pct"/>
            <w:vAlign w:val="center"/>
          </w:tcPr>
          <w:p w:rsidR="007E2143" w:rsidRPr="003D26CD" w:rsidRDefault="0066080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860" w:type="pct"/>
            <w:vAlign w:val="center"/>
          </w:tcPr>
          <w:p w:rsidR="007E2143" w:rsidRPr="003D26CD" w:rsidRDefault="00CE15A6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425,00</w:t>
            </w:r>
          </w:p>
        </w:tc>
        <w:tc>
          <w:tcPr>
            <w:tcW w:w="802" w:type="pct"/>
            <w:vAlign w:val="center"/>
          </w:tcPr>
          <w:p w:rsidR="007E2143" w:rsidRPr="00157057" w:rsidRDefault="008D61D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8D61DE">
              <w:rPr>
                <w:rFonts w:ascii="Arial Narrow" w:hAnsi="Arial Narrow"/>
                <w:color w:val="auto"/>
              </w:rPr>
              <w:t>197,00</w:t>
            </w:r>
          </w:p>
        </w:tc>
        <w:tc>
          <w:tcPr>
            <w:tcW w:w="647" w:type="pct"/>
            <w:vAlign w:val="center"/>
          </w:tcPr>
          <w:p w:rsidR="007E2143" w:rsidRPr="003D26CD" w:rsidRDefault="008D61D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46,4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lastRenderedPageBreak/>
              <w:t>239</w:t>
            </w:r>
          </w:p>
        </w:tc>
        <w:tc>
          <w:tcPr>
            <w:tcW w:w="1371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Ostale tekuće obveze</w:t>
            </w:r>
          </w:p>
        </w:tc>
        <w:tc>
          <w:tcPr>
            <w:tcW w:w="317" w:type="pct"/>
            <w:vAlign w:val="center"/>
          </w:tcPr>
          <w:p w:rsidR="00611511" w:rsidRPr="003D26CD" w:rsidRDefault="0066080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239</w:t>
            </w:r>
          </w:p>
        </w:tc>
        <w:tc>
          <w:tcPr>
            <w:tcW w:w="860" w:type="pct"/>
            <w:vAlign w:val="center"/>
          </w:tcPr>
          <w:p w:rsidR="00611511" w:rsidRPr="003D26CD" w:rsidRDefault="00CE15A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67.862,00</w:t>
            </w:r>
          </w:p>
        </w:tc>
        <w:tc>
          <w:tcPr>
            <w:tcW w:w="802" w:type="pct"/>
            <w:vAlign w:val="center"/>
          </w:tcPr>
          <w:p w:rsidR="00611511" w:rsidRPr="00157057" w:rsidRDefault="00526C5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106.472,06</w:t>
            </w:r>
          </w:p>
        </w:tc>
        <w:tc>
          <w:tcPr>
            <w:tcW w:w="647" w:type="pct"/>
            <w:vAlign w:val="center"/>
          </w:tcPr>
          <w:p w:rsidR="00611511" w:rsidRPr="003D26CD" w:rsidRDefault="008201B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156,9</w:t>
            </w:r>
          </w:p>
        </w:tc>
      </w:tr>
      <w:tr w:rsidR="00FF7312" w:rsidRPr="003D26CD" w:rsidTr="00C072F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F7312" w:rsidRPr="00D84EC3" w:rsidRDefault="00FF7312" w:rsidP="00FF731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24</w:t>
            </w:r>
          </w:p>
        </w:tc>
        <w:tc>
          <w:tcPr>
            <w:tcW w:w="1371" w:type="pct"/>
            <w:vAlign w:val="center"/>
          </w:tcPr>
          <w:p w:rsidR="00FF7312" w:rsidRPr="00D84EC3" w:rsidRDefault="00FF7312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Obveze za nefinancijsku imovinu</w:t>
            </w:r>
          </w:p>
        </w:tc>
        <w:tc>
          <w:tcPr>
            <w:tcW w:w="317" w:type="pct"/>
            <w:vAlign w:val="center"/>
          </w:tcPr>
          <w:p w:rsidR="00FF7312" w:rsidRPr="00D84EC3" w:rsidRDefault="00660804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24</w:t>
            </w:r>
          </w:p>
        </w:tc>
        <w:tc>
          <w:tcPr>
            <w:tcW w:w="860" w:type="pct"/>
            <w:vAlign w:val="center"/>
          </w:tcPr>
          <w:p w:rsidR="00FF7312" w:rsidRPr="00D84EC3" w:rsidRDefault="00CE15A6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  <w:tc>
          <w:tcPr>
            <w:tcW w:w="802" w:type="pct"/>
            <w:vAlign w:val="center"/>
          </w:tcPr>
          <w:p w:rsidR="00FF7312" w:rsidRPr="00D84EC3" w:rsidRDefault="007C740C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FF0000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  <w:tc>
          <w:tcPr>
            <w:tcW w:w="647" w:type="pct"/>
            <w:vAlign w:val="center"/>
          </w:tcPr>
          <w:p w:rsidR="00FF7312" w:rsidRPr="003D26CD" w:rsidRDefault="007C740C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</w:tr>
    </w:tbl>
    <w:p w:rsidR="00465394" w:rsidRDefault="00246B66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Iz horizontalne analize pojedini</w:t>
      </w:r>
      <w:r w:rsidR="002944CA" w:rsidRPr="003D26CD">
        <w:rPr>
          <w:rFonts w:ascii="Arial Narrow" w:hAnsi="Arial Narrow"/>
        </w:rPr>
        <w:t>h pozicija vidljivo je</w:t>
      </w:r>
      <w:r w:rsidR="008D110B" w:rsidRPr="003D26CD">
        <w:rPr>
          <w:rFonts w:ascii="Arial Narrow" w:hAnsi="Arial Narrow"/>
        </w:rPr>
        <w:t xml:space="preserve"> i</w:t>
      </w:r>
      <w:r w:rsidR="002944CA" w:rsidRPr="003D26CD">
        <w:rPr>
          <w:rFonts w:ascii="Arial Narrow" w:hAnsi="Arial Narrow"/>
        </w:rPr>
        <w:t xml:space="preserve"> </w:t>
      </w:r>
      <w:r w:rsidR="00985EED" w:rsidRPr="003D26CD">
        <w:rPr>
          <w:rFonts w:ascii="Arial Narrow" w:hAnsi="Arial Narrow"/>
        </w:rPr>
        <w:t>povećanje</w:t>
      </w:r>
      <w:r w:rsidR="008D110B" w:rsidRPr="003D26CD">
        <w:rPr>
          <w:rFonts w:ascii="Arial Narrow" w:hAnsi="Arial Narrow"/>
        </w:rPr>
        <w:t xml:space="preserve"> i smanjenje </w:t>
      </w:r>
      <w:r w:rsidR="002944CA" w:rsidRPr="003D26CD">
        <w:rPr>
          <w:rFonts w:ascii="Arial Narrow" w:hAnsi="Arial Narrow"/>
        </w:rPr>
        <w:t xml:space="preserve"> iskazanih obveza </w:t>
      </w:r>
      <w:r w:rsidRPr="003D26CD">
        <w:rPr>
          <w:rFonts w:ascii="Arial Narrow" w:hAnsi="Arial Narrow"/>
        </w:rPr>
        <w:t xml:space="preserve"> na kraju godine u odnosu na početak godine. </w:t>
      </w:r>
      <w:r w:rsidR="008D110B" w:rsidRPr="003D26CD">
        <w:rPr>
          <w:rFonts w:ascii="Arial Narrow" w:hAnsi="Arial Narrow"/>
        </w:rPr>
        <w:t xml:space="preserve">Povećanje   se kreće od </w:t>
      </w:r>
      <w:r w:rsidR="00124DFB">
        <w:rPr>
          <w:rFonts w:ascii="Arial Narrow" w:hAnsi="Arial Narrow"/>
        </w:rPr>
        <w:t xml:space="preserve">8,9 </w:t>
      </w:r>
      <w:r w:rsidRPr="003D26CD">
        <w:rPr>
          <w:rFonts w:ascii="Arial Narrow" w:hAnsi="Arial Narrow"/>
        </w:rPr>
        <w:t xml:space="preserve">% do </w:t>
      </w:r>
      <w:r w:rsidR="00124DFB">
        <w:rPr>
          <w:rFonts w:ascii="Arial Narrow" w:hAnsi="Arial Narrow"/>
        </w:rPr>
        <w:t>68</w:t>
      </w:r>
      <w:r w:rsidR="000306D8">
        <w:rPr>
          <w:rFonts w:ascii="Arial Narrow" w:hAnsi="Arial Narrow"/>
        </w:rPr>
        <w:t>,0</w:t>
      </w:r>
      <w:r w:rsidR="00241A08" w:rsidRPr="003D26CD">
        <w:rPr>
          <w:rFonts w:ascii="Arial Narrow" w:hAnsi="Arial Narrow"/>
        </w:rPr>
        <w:t xml:space="preserve"> </w:t>
      </w:r>
      <w:r w:rsidR="008D110B" w:rsidRPr="003D26CD">
        <w:rPr>
          <w:rFonts w:ascii="Arial Narrow" w:hAnsi="Arial Narrow"/>
        </w:rPr>
        <w:t>%, a smanjenje od</w:t>
      </w:r>
      <w:r w:rsidRPr="003D26CD">
        <w:rPr>
          <w:rFonts w:ascii="Arial Narrow" w:hAnsi="Arial Narrow"/>
        </w:rPr>
        <w:t xml:space="preserve"> </w:t>
      </w:r>
      <w:r w:rsidR="00124DFB">
        <w:rPr>
          <w:rFonts w:ascii="Arial Narrow" w:hAnsi="Arial Narrow"/>
        </w:rPr>
        <w:t>53,6</w:t>
      </w:r>
      <w:r w:rsidR="008201B0">
        <w:rPr>
          <w:rFonts w:ascii="Arial Narrow" w:hAnsi="Arial Narrow"/>
        </w:rPr>
        <w:t xml:space="preserve"> </w:t>
      </w:r>
      <w:r w:rsidR="008D110B" w:rsidRPr="003D26CD">
        <w:rPr>
          <w:rFonts w:ascii="Arial Narrow" w:hAnsi="Arial Narrow"/>
        </w:rPr>
        <w:t xml:space="preserve">% </w:t>
      </w:r>
      <w:r w:rsidR="00124DFB">
        <w:rPr>
          <w:rFonts w:ascii="Arial Narrow" w:hAnsi="Arial Narrow"/>
        </w:rPr>
        <w:t xml:space="preserve">, </w:t>
      </w:r>
      <w:r w:rsidR="008D110B" w:rsidRPr="003D26CD">
        <w:rPr>
          <w:rFonts w:ascii="Arial Narrow" w:hAnsi="Arial Narrow"/>
        </w:rPr>
        <w:t>a ukupne ob</w:t>
      </w:r>
      <w:r w:rsidR="00D63DDA">
        <w:rPr>
          <w:rFonts w:ascii="Arial Narrow" w:hAnsi="Arial Narrow"/>
        </w:rPr>
        <w:t>v</w:t>
      </w:r>
      <w:r w:rsidR="00CC5FF6">
        <w:rPr>
          <w:rFonts w:ascii="Arial Narrow" w:hAnsi="Arial Narrow"/>
        </w:rPr>
        <w:t xml:space="preserve">eze na kraju razdoblja povećane </w:t>
      </w:r>
      <w:r w:rsidR="00D63DDA">
        <w:rPr>
          <w:rFonts w:ascii="Arial Narrow" w:hAnsi="Arial Narrow"/>
        </w:rPr>
        <w:t>su</w:t>
      </w:r>
      <w:r w:rsidR="00803AEA">
        <w:rPr>
          <w:rFonts w:ascii="Arial Narrow" w:hAnsi="Arial Narrow"/>
        </w:rPr>
        <w:t xml:space="preserve"> </w:t>
      </w:r>
      <w:r w:rsidR="008D110B" w:rsidRPr="003D26CD">
        <w:rPr>
          <w:rFonts w:ascii="Arial Narrow" w:hAnsi="Arial Narrow"/>
        </w:rPr>
        <w:t xml:space="preserve"> za </w:t>
      </w:r>
      <w:r w:rsidR="008201B0">
        <w:rPr>
          <w:rFonts w:ascii="Arial Narrow" w:hAnsi="Arial Narrow"/>
        </w:rPr>
        <w:t xml:space="preserve">21,6 </w:t>
      </w:r>
      <w:r w:rsidR="008D110B" w:rsidRPr="003D26CD">
        <w:rPr>
          <w:rFonts w:ascii="Arial Narrow" w:hAnsi="Arial Narrow"/>
        </w:rPr>
        <w:t xml:space="preserve">%. </w:t>
      </w:r>
    </w:p>
    <w:p w:rsidR="001342B1" w:rsidRDefault="002944CA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Okružnicom </w:t>
      </w:r>
      <w:r w:rsidR="00246B66" w:rsidRPr="003D26CD">
        <w:rPr>
          <w:rFonts w:ascii="Arial Narrow" w:hAnsi="Arial Narrow"/>
        </w:rPr>
        <w:t xml:space="preserve"> Ministarstva financija bilo je omogućeno odstupanje od primjene gotovinskog načela iskazivanja prihoda propisanog Pravilnikom o proračunskom računovodstvu i Računskom planu kod evidencije doznaka sredstava pomoći izravnanja za decentralizirane funkcije.</w:t>
      </w:r>
      <w:r w:rsidR="00676596" w:rsidRPr="003D26CD">
        <w:rPr>
          <w:rFonts w:ascii="Arial Narrow" w:hAnsi="Arial Narrow"/>
        </w:rPr>
        <w:t xml:space="preserve"> Do 2014. godine korisnici su priznavali prihode 2014. godine koje su dobili od nadležne jedinice lokalne samouprave u 2015.</w:t>
      </w:r>
      <w:r w:rsidR="008F30AA" w:rsidRPr="003D26CD">
        <w:rPr>
          <w:rFonts w:ascii="Arial Narrow" w:hAnsi="Arial Narrow"/>
        </w:rPr>
        <w:t xml:space="preserve"> godini</w:t>
      </w:r>
      <w:r w:rsidR="00AB45F2" w:rsidRPr="003D26CD">
        <w:rPr>
          <w:rFonts w:ascii="Arial Narrow" w:hAnsi="Arial Narrow"/>
        </w:rPr>
        <w:t xml:space="preserve"> </w:t>
      </w:r>
      <w:r w:rsidR="00676596" w:rsidRPr="003D26CD">
        <w:rPr>
          <w:rFonts w:ascii="Arial Narrow" w:hAnsi="Arial Narrow"/>
        </w:rPr>
        <w:t xml:space="preserve"> za podmirenje obaveza po rashodima koji se financiraju iz pomoći izravnanja. To odstupanje se više ne </w:t>
      </w:r>
      <w:r w:rsidR="00AB45F2" w:rsidRPr="003D26CD">
        <w:rPr>
          <w:rFonts w:ascii="Arial Narrow" w:hAnsi="Arial Narrow"/>
        </w:rPr>
        <w:t>primjenjuje od</w:t>
      </w:r>
      <w:r w:rsidR="00676596" w:rsidRPr="003D26CD">
        <w:rPr>
          <w:rFonts w:ascii="Arial Narrow" w:hAnsi="Arial Narrow"/>
        </w:rPr>
        <w:t xml:space="preserve"> 2015. godini i škola je kao proračunski korisnik iskazala</w:t>
      </w:r>
      <w:r w:rsidR="00124DFB">
        <w:rPr>
          <w:rFonts w:ascii="Arial Narrow" w:hAnsi="Arial Narrow"/>
        </w:rPr>
        <w:t xml:space="preserve"> rashode i obveza nastale u 2022</w:t>
      </w:r>
      <w:r w:rsidR="00676596" w:rsidRPr="003D26CD">
        <w:rPr>
          <w:rFonts w:ascii="Arial Narrow" w:hAnsi="Arial Narrow"/>
        </w:rPr>
        <w:t xml:space="preserve">. godini bez obzira  što te obveze nisu i podmirene u </w:t>
      </w:r>
      <w:r w:rsidR="00124DFB">
        <w:rPr>
          <w:rFonts w:ascii="Arial Narrow" w:hAnsi="Arial Narrow"/>
        </w:rPr>
        <w:t>2022</w:t>
      </w:r>
      <w:r w:rsidR="00514B7D" w:rsidRPr="003D26CD">
        <w:rPr>
          <w:rFonts w:ascii="Arial Narrow" w:hAnsi="Arial Narrow"/>
        </w:rPr>
        <w:t>. godini jer će</w:t>
      </w:r>
      <w:r w:rsidR="00676596" w:rsidRPr="003D26CD">
        <w:rPr>
          <w:rFonts w:ascii="Arial Narrow" w:hAnsi="Arial Narrow"/>
        </w:rPr>
        <w:t xml:space="preserve"> sredstva školi</w:t>
      </w:r>
      <w:r w:rsidR="00514B7D" w:rsidRPr="003D26CD">
        <w:rPr>
          <w:rFonts w:ascii="Arial Narrow" w:hAnsi="Arial Narrow"/>
        </w:rPr>
        <w:t xml:space="preserve"> za iste obve</w:t>
      </w:r>
      <w:r w:rsidR="007D4D4B" w:rsidRPr="003D26CD">
        <w:rPr>
          <w:rFonts w:ascii="Arial Narrow" w:hAnsi="Arial Narrow"/>
        </w:rPr>
        <w:t>ze biti  doznačena u 2</w:t>
      </w:r>
      <w:r w:rsidR="00124DFB">
        <w:rPr>
          <w:rFonts w:ascii="Arial Narrow" w:hAnsi="Arial Narrow"/>
        </w:rPr>
        <w:t>023</w:t>
      </w:r>
      <w:r w:rsidR="00514B7D" w:rsidRPr="003D26CD">
        <w:rPr>
          <w:rFonts w:ascii="Arial Narrow" w:hAnsi="Arial Narrow"/>
        </w:rPr>
        <w:t>. godini. Zbog</w:t>
      </w:r>
      <w:r w:rsidR="00676596" w:rsidRPr="003D26CD">
        <w:rPr>
          <w:rFonts w:ascii="Arial Narrow" w:hAnsi="Arial Narrow"/>
        </w:rPr>
        <w:t xml:space="preserve"> modificiranog načela nastanka događaja šk</w:t>
      </w:r>
      <w:r w:rsidR="00155654">
        <w:rPr>
          <w:rFonts w:ascii="Arial Narrow" w:hAnsi="Arial Narrow"/>
        </w:rPr>
        <w:t>ola je završila 2022</w:t>
      </w:r>
      <w:r w:rsidR="00514B7D" w:rsidRPr="003D26CD">
        <w:rPr>
          <w:rFonts w:ascii="Arial Narrow" w:hAnsi="Arial Narrow"/>
        </w:rPr>
        <w:t>. godinu s manjkom</w:t>
      </w:r>
      <w:r w:rsidR="00413F8E" w:rsidRPr="003D26CD">
        <w:rPr>
          <w:rFonts w:ascii="Arial Narrow" w:hAnsi="Arial Narrow"/>
        </w:rPr>
        <w:t xml:space="preserve">. </w:t>
      </w:r>
    </w:p>
    <w:p w:rsidR="0039325B" w:rsidRDefault="0039325B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39325B" w:rsidRPr="003D26CD" w:rsidRDefault="0039325B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022AF2" w:rsidRPr="003D26CD" w:rsidRDefault="00124DFB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Bilješke uz </w:t>
      </w:r>
      <w:r w:rsidR="00863CAA" w:rsidRPr="003D26CD">
        <w:rPr>
          <w:rFonts w:ascii="Arial Narrow" w:hAnsi="Arial Narrow"/>
          <w:b/>
        </w:rPr>
        <w:t xml:space="preserve"> </w:t>
      </w:r>
      <w:r w:rsidR="00334C82">
        <w:rPr>
          <w:rFonts w:ascii="Arial Narrow" w:hAnsi="Arial Narrow"/>
          <w:b/>
        </w:rPr>
        <w:t>–</w:t>
      </w:r>
      <w:r w:rsidR="003B5926">
        <w:rPr>
          <w:rFonts w:ascii="Arial Narrow" w:hAnsi="Arial Narrow"/>
          <w:b/>
        </w:rPr>
        <w:t xml:space="preserve"> </w:t>
      </w:r>
      <w:r w:rsidR="00334C82">
        <w:rPr>
          <w:rFonts w:ascii="Arial Narrow" w:hAnsi="Arial Narrow"/>
          <w:b/>
        </w:rPr>
        <w:t>Višak/</w:t>
      </w:r>
      <w:r w:rsidR="00863CAA" w:rsidRPr="003D26CD">
        <w:rPr>
          <w:rFonts w:ascii="Arial Narrow" w:hAnsi="Arial Narrow"/>
          <w:b/>
        </w:rPr>
        <w:t xml:space="preserve"> </w:t>
      </w:r>
      <w:r w:rsidR="003A6BED" w:rsidRPr="003D26CD">
        <w:rPr>
          <w:rFonts w:ascii="Arial Narrow" w:hAnsi="Arial Narrow"/>
          <w:b/>
        </w:rPr>
        <w:t>Manjak</w:t>
      </w:r>
      <w:r w:rsidR="009A6AA0" w:rsidRPr="003D26CD">
        <w:rPr>
          <w:rFonts w:ascii="Arial Narrow" w:hAnsi="Arial Narrow"/>
          <w:b/>
        </w:rPr>
        <w:t xml:space="preserve"> </w:t>
      </w:r>
      <w:r w:rsidR="00FC7AA5" w:rsidRPr="003D26CD">
        <w:rPr>
          <w:rFonts w:ascii="Arial Narrow" w:hAnsi="Arial Narrow"/>
          <w:b/>
        </w:rPr>
        <w:t xml:space="preserve"> prihoda poslovanja</w:t>
      </w:r>
    </w:p>
    <w:tbl>
      <w:tblPr>
        <w:tblStyle w:val="Srednjipopis2-Isticanje1"/>
        <w:tblW w:w="488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46"/>
        <w:gridCol w:w="2961"/>
        <w:gridCol w:w="946"/>
        <w:gridCol w:w="1450"/>
        <w:gridCol w:w="29"/>
        <w:gridCol w:w="1704"/>
        <w:gridCol w:w="29"/>
      </w:tblGrid>
      <w:tr w:rsidR="00AD7FE3" w:rsidRPr="003D26CD" w:rsidTr="005267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  <w:r w:rsidR="00FB23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603AD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PR-RAS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BILANCA</w:t>
            </w:r>
          </w:p>
        </w:tc>
      </w:tr>
      <w:tr w:rsidR="00AD7FE3" w:rsidRPr="003D26CD" w:rsidTr="0052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1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</w:tr>
      <w:tr w:rsidR="00AD7FE3" w:rsidRPr="003D26CD" w:rsidTr="005267CF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456BE2" w:rsidRDefault="00257134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456BE2">
              <w:rPr>
                <w:rFonts w:ascii="Arial Narrow" w:eastAsiaTheme="minorEastAsia" w:hAnsi="Arial Narrow"/>
                <w:b/>
              </w:rPr>
              <w:t>922</w:t>
            </w:r>
          </w:p>
        </w:tc>
        <w:tc>
          <w:tcPr>
            <w:tcW w:w="1633" w:type="pct"/>
            <w:vAlign w:val="center"/>
          </w:tcPr>
          <w:p w:rsidR="00AD7FE3" w:rsidRPr="00456BE2" w:rsidRDefault="003A6BE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56BE2">
              <w:rPr>
                <w:rFonts w:ascii="Arial Narrow" w:eastAsiaTheme="minorEastAsia" w:hAnsi="Arial Narrow"/>
                <w:b/>
              </w:rPr>
              <w:t>Manjak</w:t>
            </w:r>
            <w:r w:rsidR="009A6AA0" w:rsidRPr="00456BE2">
              <w:rPr>
                <w:rFonts w:ascii="Arial Narrow" w:eastAsiaTheme="minorEastAsia" w:hAnsi="Arial Narrow"/>
                <w:b/>
              </w:rPr>
              <w:t xml:space="preserve"> </w:t>
            </w:r>
            <w:r w:rsidR="00AD7FE3" w:rsidRPr="00456BE2">
              <w:rPr>
                <w:rFonts w:ascii="Arial Narrow" w:eastAsiaTheme="minorEastAsia" w:hAnsi="Arial Narrow"/>
                <w:b/>
              </w:rPr>
              <w:t xml:space="preserve"> prihoda poslovanja</w:t>
            </w:r>
          </w:p>
        </w:tc>
        <w:tc>
          <w:tcPr>
            <w:tcW w:w="522" w:type="pct"/>
            <w:vAlign w:val="center"/>
          </w:tcPr>
          <w:p w:rsidR="00603AD8" w:rsidRPr="00456BE2" w:rsidRDefault="00603AD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603AD8" w:rsidRPr="00456BE2" w:rsidRDefault="00603AD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A67292" w:rsidRPr="00456BE2" w:rsidRDefault="0025713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56BE2">
              <w:rPr>
                <w:rFonts w:ascii="Arial Narrow" w:eastAsiaTheme="minorEastAsia" w:hAnsi="Arial Narrow"/>
                <w:b/>
              </w:rPr>
              <w:t>922</w:t>
            </w:r>
          </w:p>
          <w:p w:rsidR="00AD7FE3" w:rsidRPr="00456BE2" w:rsidRDefault="00AD7FE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AD7FE3" w:rsidRPr="00456BE2" w:rsidRDefault="00AD7FE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16" w:type="pct"/>
            <w:gridSpan w:val="2"/>
            <w:vAlign w:val="center"/>
          </w:tcPr>
          <w:p w:rsidR="00AD7FE3" w:rsidRPr="00456BE2" w:rsidRDefault="005267CF" w:rsidP="00A40A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56BE2">
              <w:rPr>
                <w:rFonts w:ascii="Arial Narrow" w:eastAsiaTheme="minorEastAsia" w:hAnsi="Arial Narrow"/>
                <w:b/>
              </w:rPr>
              <w:t>-91.406,00</w:t>
            </w:r>
          </w:p>
        </w:tc>
        <w:tc>
          <w:tcPr>
            <w:tcW w:w="956" w:type="pct"/>
            <w:gridSpan w:val="2"/>
            <w:vAlign w:val="center"/>
          </w:tcPr>
          <w:p w:rsidR="00AD7FE3" w:rsidRPr="00456BE2" w:rsidRDefault="005267CF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56BE2">
              <w:rPr>
                <w:rFonts w:ascii="Arial Narrow" w:eastAsiaTheme="minorEastAsia" w:hAnsi="Arial Narrow"/>
                <w:b/>
              </w:rPr>
              <w:t>-91.406,00</w:t>
            </w:r>
          </w:p>
        </w:tc>
      </w:tr>
    </w:tbl>
    <w:p w:rsidR="00AD2911" w:rsidRDefault="00AD2911" w:rsidP="00C822C0">
      <w:pPr>
        <w:spacing w:after="120"/>
        <w:rPr>
          <w:rFonts w:ascii="Arial Narrow" w:hAnsi="Arial Narrow"/>
          <w:b/>
        </w:rPr>
      </w:pPr>
    </w:p>
    <w:p w:rsidR="00E96234" w:rsidRPr="003D26CD" w:rsidRDefault="00E96234" w:rsidP="00E96234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Struktura poslovnog rezultata iskazanog viška/manjka  </w:t>
      </w:r>
      <w:r>
        <w:rPr>
          <w:rFonts w:ascii="Arial Narrow" w:hAnsi="Arial Narrow"/>
          <w:b/>
        </w:rPr>
        <w:t>2022</w:t>
      </w:r>
      <w:r w:rsidRPr="003D26CD">
        <w:rPr>
          <w:rFonts w:ascii="Arial Narrow" w:hAnsi="Arial Narrow"/>
          <w:b/>
        </w:rPr>
        <w:t>. godine – po izvorima</w:t>
      </w:r>
    </w:p>
    <w:tbl>
      <w:tblPr>
        <w:tblStyle w:val="Srednjipopis2-Isticanje1"/>
        <w:tblW w:w="4883" w:type="pct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747"/>
        <w:gridCol w:w="1290"/>
        <w:gridCol w:w="1275"/>
        <w:gridCol w:w="1419"/>
        <w:gridCol w:w="1270"/>
      </w:tblGrid>
      <w:tr w:rsidR="00115887" w:rsidRPr="003D26CD" w:rsidTr="00115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1" w:type="pct"/>
            <w:tcBorders>
              <w:top w:val="inset" w:sz="6" w:space="0" w:color="548DD4" w:themeColor="text2" w:themeTint="99"/>
              <w:left w:val="inset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noWrap/>
            <w:vAlign w:val="center"/>
          </w:tcPr>
          <w:p w:rsidR="00115887" w:rsidRPr="00AD2911" w:rsidRDefault="00115887" w:rsidP="00965C36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Račun iz računskog plana</w:t>
            </w:r>
          </w:p>
        </w:tc>
        <w:tc>
          <w:tcPr>
            <w:tcW w:w="963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15887" w:rsidRPr="00AD2911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Opis</w:t>
            </w:r>
          </w:p>
        </w:tc>
        <w:tc>
          <w:tcPr>
            <w:tcW w:w="711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Preneseni poslovni rezultat 2021</w:t>
            </w: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. godine.</w:t>
            </w:r>
          </w:p>
          <w:p w:rsidR="00115887" w:rsidRPr="00AD2911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BILANCA</w:t>
            </w:r>
          </w:p>
        </w:tc>
        <w:tc>
          <w:tcPr>
            <w:tcW w:w="703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:rsidR="00115887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115887" w:rsidRPr="00AD2911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Korigiran poslovni rezultat 1.1.2021. Odluka o pokriću manjka</w:t>
            </w:r>
          </w:p>
        </w:tc>
        <w:tc>
          <w:tcPr>
            <w:tcW w:w="782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:rsidR="00115887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115887" w:rsidRPr="00AD2911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Poslovni rezultata 2022.godine</w:t>
            </w:r>
          </w:p>
        </w:tc>
        <w:tc>
          <w:tcPr>
            <w:tcW w:w="700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outset" w:sz="6" w:space="0" w:color="548DD4" w:themeColor="text2" w:themeTint="99"/>
            </w:tcBorders>
            <w:vAlign w:val="center"/>
          </w:tcPr>
          <w:p w:rsidR="00115887" w:rsidRPr="00AD2911" w:rsidRDefault="00115887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Višak prihoda raspoloživ u sljedećem razdoblju)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outset" w:sz="6" w:space="0" w:color="548DD4" w:themeColor="text2" w:themeTint="99"/>
              <w:left w:val="inset" w:sz="6" w:space="0" w:color="548DD4" w:themeColor="text2" w:themeTint="99"/>
              <w:bottom w:val="single" w:sz="4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963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711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03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82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00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115887" w:rsidRPr="003D26CD" w:rsidTr="0011588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92211</w:t>
            </w:r>
          </w:p>
        </w:tc>
        <w:tc>
          <w:tcPr>
            <w:tcW w:w="9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Višak prihoda poslovanja Vlastita sredstva škole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24.448,72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--4.094,97</w:t>
            </w: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59,92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20.413,67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4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lastRenderedPageBreak/>
              <w:t>92211</w:t>
            </w:r>
          </w:p>
        </w:tc>
        <w:tc>
          <w:tcPr>
            <w:tcW w:w="963" w:type="pct"/>
            <w:tcBorders>
              <w:top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 prihoda poslovanja Grad Sinj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10.324,61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-3.896,00</w:t>
            </w: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750,00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7.178,61</w:t>
            </w:r>
          </w:p>
        </w:tc>
      </w:tr>
      <w:tr w:rsidR="00115887" w:rsidRPr="003D26CD" w:rsidTr="00115887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92211</w:t>
            </w:r>
          </w:p>
        </w:tc>
        <w:tc>
          <w:tcPr>
            <w:tcW w:w="963" w:type="pct"/>
            <w:tcBorders>
              <w:bottom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 prihoda poslovanja AOO</w:t>
            </w:r>
          </w:p>
        </w:tc>
        <w:tc>
          <w:tcPr>
            <w:tcW w:w="711" w:type="pct"/>
            <w:tcBorders>
              <w:top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5.080,09</w:t>
            </w:r>
          </w:p>
        </w:tc>
        <w:tc>
          <w:tcPr>
            <w:tcW w:w="703" w:type="pct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2" w:type="pct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774,25</w:t>
            </w:r>
          </w:p>
        </w:tc>
        <w:tc>
          <w:tcPr>
            <w:tcW w:w="700" w:type="pct"/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5.854,34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92211</w:t>
            </w:r>
          </w:p>
        </w:tc>
        <w:tc>
          <w:tcPr>
            <w:tcW w:w="963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Višak uplate po posebnim propisima</w:t>
            </w:r>
          </w:p>
        </w:tc>
        <w:tc>
          <w:tcPr>
            <w:tcW w:w="711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282,25</w:t>
            </w:r>
          </w:p>
        </w:tc>
        <w:tc>
          <w:tcPr>
            <w:tcW w:w="703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-</w:t>
            </w:r>
          </w:p>
        </w:tc>
        <w:tc>
          <w:tcPr>
            <w:tcW w:w="782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700" w:type="pct"/>
            <w:tcBorders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282,25</w:t>
            </w:r>
          </w:p>
        </w:tc>
      </w:tr>
      <w:tr w:rsidR="00115887" w:rsidRPr="003D26CD" w:rsidTr="0011588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92211</w:t>
            </w:r>
          </w:p>
        </w:tc>
        <w:tc>
          <w:tcPr>
            <w:tcW w:w="963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 prihoda poslovanja Općina Otok</w:t>
            </w:r>
          </w:p>
        </w:tc>
        <w:tc>
          <w:tcPr>
            <w:tcW w:w="711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8,67</w:t>
            </w:r>
          </w:p>
        </w:tc>
        <w:tc>
          <w:tcPr>
            <w:tcW w:w="703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782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0" w:type="pct"/>
            <w:tcBorders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8,67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:rsidR="00115887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92211</w:t>
            </w:r>
          </w:p>
        </w:tc>
        <w:tc>
          <w:tcPr>
            <w:tcW w:w="963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Višak poslovanja MZO</w:t>
            </w:r>
          </w:p>
        </w:tc>
        <w:tc>
          <w:tcPr>
            <w:tcW w:w="711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9.214,86</w:t>
            </w:r>
          </w:p>
        </w:tc>
        <w:tc>
          <w:tcPr>
            <w:tcW w:w="703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-4.774,50</w:t>
            </w:r>
          </w:p>
        </w:tc>
        <w:tc>
          <w:tcPr>
            <w:tcW w:w="700" w:type="pct"/>
            <w:tcBorders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4.440,36</w:t>
            </w:r>
          </w:p>
        </w:tc>
      </w:tr>
      <w:tr w:rsidR="00115887" w:rsidRPr="003D26CD" w:rsidTr="0011588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:rsidR="00115887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92211</w:t>
            </w:r>
          </w:p>
        </w:tc>
        <w:tc>
          <w:tcPr>
            <w:tcW w:w="963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Višak prihoda </w:t>
            </w:r>
            <w:proofErr w:type="spellStart"/>
            <w:r>
              <w:rPr>
                <w:rFonts w:ascii="Arial Narrow" w:hAnsi="Arial Narrow"/>
              </w:rPr>
              <w:t>BIoMozaik</w:t>
            </w:r>
            <w:proofErr w:type="spellEnd"/>
            <w:r>
              <w:rPr>
                <w:rFonts w:ascii="Arial Narrow" w:hAnsi="Arial Narrow"/>
              </w:rPr>
              <w:t xml:space="preserve"> Krš i more EU sredstva</w:t>
            </w:r>
          </w:p>
        </w:tc>
        <w:tc>
          <w:tcPr>
            <w:tcW w:w="711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3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82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11.232,00</w:t>
            </w:r>
          </w:p>
        </w:tc>
        <w:tc>
          <w:tcPr>
            <w:tcW w:w="700" w:type="pct"/>
            <w:tcBorders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11.232,00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92211</w:t>
            </w:r>
          </w:p>
        </w:tc>
        <w:tc>
          <w:tcPr>
            <w:tcW w:w="963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Višak prihoda </w:t>
            </w:r>
            <w:proofErr w:type="spellStart"/>
            <w:r>
              <w:rPr>
                <w:rFonts w:ascii="Arial Narrow" w:hAnsi="Arial Narrow"/>
              </w:rPr>
              <w:t>BIOMozail</w:t>
            </w:r>
            <w:proofErr w:type="spellEnd"/>
            <w:r>
              <w:rPr>
                <w:rFonts w:ascii="Arial Narrow" w:hAnsi="Arial Narrow"/>
              </w:rPr>
              <w:t xml:space="preserve"> krš i more nacionalno financiranje</w:t>
            </w:r>
          </w:p>
        </w:tc>
        <w:tc>
          <w:tcPr>
            <w:tcW w:w="711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3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82" w:type="pct"/>
            <w:tcBorders>
              <w:bottom w:val="single" w:sz="4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1.982,12</w:t>
            </w:r>
          </w:p>
        </w:tc>
        <w:tc>
          <w:tcPr>
            <w:tcW w:w="700" w:type="pct"/>
            <w:tcBorders>
              <w:bottom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1.982,12</w:t>
            </w:r>
          </w:p>
        </w:tc>
      </w:tr>
      <w:tr w:rsidR="00115887" w:rsidRPr="003D26CD" w:rsidTr="00115887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92221</w:t>
            </w:r>
          </w:p>
        </w:tc>
        <w:tc>
          <w:tcPr>
            <w:tcW w:w="963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eastAsiaTheme="minorEastAsia" w:hAnsi="Arial Narrow"/>
              </w:rPr>
              <w:t xml:space="preserve">Manjak 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prihoda</w:t>
            </w:r>
            <w:r w:rsidRPr="003D26CD">
              <w:rPr>
                <w:rFonts w:ascii="Arial Narrow" w:eastAsiaTheme="minorEastAsia" w:hAnsi="Arial Narrow"/>
              </w:rPr>
              <w:t xml:space="preserve"> p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o</w:t>
            </w:r>
            <w:r w:rsidRPr="003D26CD">
              <w:rPr>
                <w:rFonts w:ascii="Arial Narrow" w:eastAsiaTheme="minorEastAsia" w:hAnsi="Arial Narrow"/>
              </w:rPr>
              <w:t>slovanja Županija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-38.436,62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C13285" w:rsidP="00164C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164C1B">
              <w:rPr>
                <w:rFonts w:ascii="Arial Narrow" w:hAnsi="Arial Narrow"/>
              </w:rPr>
              <w:t>48.390,46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164C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164C1B">
              <w:rPr>
                <w:rFonts w:ascii="Arial Narrow" w:hAnsi="Arial Narrow"/>
              </w:rPr>
              <w:t>86.827,08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9221</w:t>
            </w:r>
            <w:r w:rsidRPr="003D26CD">
              <w:rPr>
                <w:rFonts w:ascii="Arial Narrow" w:hAnsi="Arial Narrow"/>
              </w:rPr>
              <w:t>1</w:t>
            </w:r>
          </w:p>
        </w:tc>
        <w:tc>
          <w:tcPr>
            <w:tcW w:w="963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Manjak prihoda poslovanja Ministarstvo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-42.951,34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2.327,39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-40.623,95</w:t>
            </w:r>
          </w:p>
        </w:tc>
      </w:tr>
      <w:tr w:rsidR="00115887" w:rsidRPr="003D26CD" w:rsidTr="00115887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inset" w:sz="6" w:space="0" w:color="548DD4" w:themeColor="text2" w:themeTint="99"/>
              <w:right w:val="single" w:sz="6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922</w:t>
            </w:r>
          </w:p>
        </w:tc>
        <w:tc>
          <w:tcPr>
            <w:tcW w:w="963" w:type="pct"/>
            <w:tcBorders>
              <w:left w:val="single" w:sz="6" w:space="0" w:color="4F81BD" w:themeColor="accent1"/>
              <w:bottom w:val="inset" w:sz="6" w:space="0" w:color="548DD4" w:themeColor="text2" w:themeTint="99"/>
              <w:right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Višak/Manjak</w:t>
            </w:r>
            <w:r w:rsidRPr="003D26CD">
              <w:rPr>
                <w:rFonts w:ascii="Arial Narrow" w:hAnsi="Arial Narrow"/>
                <w:b/>
              </w:rPr>
              <w:t xml:space="preserve"> prihoda poslov</w:t>
            </w:r>
            <w:r>
              <w:rPr>
                <w:rFonts w:ascii="Arial Narrow" w:hAnsi="Arial Narrow"/>
                <w:b/>
              </w:rPr>
              <w:t>anja 2021</w:t>
            </w:r>
            <w:r w:rsidRPr="003D26C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4" w:space="0" w:color="4F81BD" w:themeColor="accent1"/>
              <w:bottom w:val="inset" w:sz="6" w:space="0" w:color="548DD4" w:themeColor="text2" w:themeTint="99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-32.028,76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bottom w:val="inset" w:sz="6" w:space="0" w:color="548DD4" w:themeColor="text2" w:themeTint="99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71CA8">
              <w:rPr>
                <w:rFonts w:ascii="Arial Narrow" w:hAnsi="Arial Narrow"/>
                <w:b/>
                <w:color w:val="auto"/>
              </w:rPr>
              <w:t>-7.990,97</w:t>
            </w: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bottom w:val="inset" w:sz="6" w:space="0" w:color="548DD4" w:themeColor="text2" w:themeTint="99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115887" w:rsidRPr="003D26CD" w:rsidRDefault="00115887" w:rsidP="00164C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  <w:r w:rsidR="00164C1B">
              <w:rPr>
                <w:rFonts w:ascii="Arial Narrow" w:hAnsi="Arial Narrow"/>
                <w:b/>
              </w:rPr>
              <w:t>36.039,28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  <w:bottom w:val="inset" w:sz="6" w:space="0" w:color="548DD4" w:themeColor="text2" w:themeTint="99"/>
            </w:tcBorders>
            <w:vAlign w:val="center"/>
          </w:tcPr>
          <w:p w:rsidR="00115887" w:rsidRPr="003D26CD" w:rsidRDefault="00115887" w:rsidP="00164C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  <w:r w:rsidR="00164C1B">
              <w:rPr>
                <w:rFonts w:ascii="Arial Narrow" w:hAnsi="Arial Narrow"/>
                <w:b/>
              </w:rPr>
              <w:t>76.059,01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inset" w:sz="6" w:space="0" w:color="548DD4" w:themeColor="text2" w:themeTint="99"/>
              <w:left w:val="inset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963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Manjak prihoda od nefinancijske imovine</w:t>
            </w:r>
          </w:p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 Odluka o pre</w:t>
            </w:r>
            <w:r>
              <w:rPr>
                <w:rFonts w:ascii="Arial Narrow" w:hAnsi="Arial Narrow"/>
              </w:rPr>
              <w:t>raspodjeli viška 2021</w:t>
            </w:r>
            <w:r w:rsidRPr="003D26CD">
              <w:rPr>
                <w:rFonts w:ascii="Arial Narrow" w:hAnsi="Arial Narrow"/>
              </w:rPr>
              <w:t>.godine vlastita sredstva</w:t>
            </w:r>
          </w:p>
        </w:tc>
        <w:tc>
          <w:tcPr>
            <w:tcW w:w="711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D53F6">
              <w:rPr>
                <w:rFonts w:ascii="Arial Narrow" w:hAnsi="Arial Narrow"/>
                <w:color w:val="auto"/>
              </w:rPr>
              <w:t xml:space="preserve">- </w:t>
            </w:r>
            <w:r>
              <w:rPr>
                <w:rFonts w:ascii="Arial Narrow" w:hAnsi="Arial Narrow"/>
                <w:color w:val="auto"/>
              </w:rPr>
              <w:t>4.094,97</w:t>
            </w:r>
          </w:p>
        </w:tc>
        <w:tc>
          <w:tcPr>
            <w:tcW w:w="703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Pr="00F71CA8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1CA8">
              <w:rPr>
                <w:rFonts w:ascii="Arial Narrow" w:hAnsi="Arial Narrow"/>
                <w:color w:val="auto"/>
              </w:rPr>
              <w:t>4.097,97</w:t>
            </w:r>
          </w:p>
        </w:tc>
        <w:tc>
          <w:tcPr>
            <w:tcW w:w="782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Pr="00B9565A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Pr="0008526B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-1.951,48</w:t>
            </w:r>
          </w:p>
        </w:tc>
        <w:tc>
          <w:tcPr>
            <w:tcW w:w="700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outset" w:sz="6" w:space="0" w:color="548DD4" w:themeColor="text2" w:themeTint="99"/>
            </w:tcBorders>
            <w:vAlign w:val="center"/>
          </w:tcPr>
          <w:p w:rsidR="00115887" w:rsidRPr="003D26CD" w:rsidRDefault="00C13285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115887">
              <w:rPr>
                <w:rFonts w:ascii="Arial Narrow" w:hAnsi="Arial Narrow"/>
              </w:rPr>
              <w:t>1.951,48</w:t>
            </w:r>
          </w:p>
        </w:tc>
      </w:tr>
      <w:tr w:rsidR="00115887" w:rsidRPr="003D26CD" w:rsidTr="0011588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outset" w:sz="6" w:space="0" w:color="548DD4" w:themeColor="text2" w:themeTint="99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92222</w:t>
            </w:r>
          </w:p>
        </w:tc>
        <w:tc>
          <w:tcPr>
            <w:tcW w:w="963" w:type="pct"/>
            <w:tcBorders>
              <w:top w:val="outset" w:sz="6" w:space="0" w:color="548DD4" w:themeColor="text2" w:themeTint="99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Manjak prihoda od nefinancijske </w:t>
            </w:r>
            <w:r>
              <w:rPr>
                <w:rFonts w:ascii="Arial Narrow" w:hAnsi="Arial Narrow"/>
              </w:rPr>
              <w:t>imovine Grad Sinj</w:t>
            </w:r>
          </w:p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Odluka o pre</w:t>
            </w:r>
            <w:r>
              <w:rPr>
                <w:rFonts w:ascii="Arial Narrow" w:hAnsi="Arial Narrow"/>
              </w:rPr>
              <w:t>raspodjeli viška 2021</w:t>
            </w:r>
            <w:r w:rsidRPr="003D26CD">
              <w:rPr>
                <w:rFonts w:ascii="Arial Narrow" w:hAnsi="Arial Narrow"/>
              </w:rPr>
              <w:t>.godine vlastita sredstva</w:t>
            </w:r>
          </w:p>
        </w:tc>
        <w:tc>
          <w:tcPr>
            <w:tcW w:w="711" w:type="pct"/>
            <w:tcBorders>
              <w:top w:val="outset" w:sz="6" w:space="0" w:color="548DD4" w:themeColor="text2" w:themeTint="99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-3.896,00</w:t>
            </w:r>
          </w:p>
        </w:tc>
        <w:tc>
          <w:tcPr>
            <w:tcW w:w="703" w:type="pct"/>
            <w:tcBorders>
              <w:top w:val="outset" w:sz="6" w:space="0" w:color="548DD4" w:themeColor="text2" w:themeTint="99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3.896,00</w:t>
            </w:r>
          </w:p>
        </w:tc>
        <w:tc>
          <w:tcPr>
            <w:tcW w:w="782" w:type="pct"/>
            <w:tcBorders>
              <w:top w:val="outset" w:sz="6" w:space="0" w:color="548DD4" w:themeColor="text2" w:themeTint="99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-1.765,51</w:t>
            </w:r>
          </w:p>
        </w:tc>
        <w:tc>
          <w:tcPr>
            <w:tcW w:w="700" w:type="pct"/>
            <w:tcBorders>
              <w:top w:val="outset" w:sz="6" w:space="0" w:color="548DD4" w:themeColor="text2" w:themeTint="99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-1.765,51</w:t>
            </w:r>
          </w:p>
        </w:tc>
        <w:bookmarkStart w:id="0" w:name="_GoBack"/>
        <w:bookmarkEnd w:id="0"/>
      </w:tr>
      <w:tr w:rsidR="00BF6A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outset" w:sz="6" w:space="0" w:color="548DD4" w:themeColor="text2" w:themeTint="99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BF6A87" w:rsidRDefault="00BF6A87" w:rsidP="00965C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92222</w:t>
            </w:r>
          </w:p>
        </w:tc>
        <w:tc>
          <w:tcPr>
            <w:tcW w:w="963" w:type="pct"/>
            <w:tcBorders>
              <w:top w:val="outset" w:sz="6" w:space="0" w:color="548DD4" w:themeColor="text2" w:themeTint="99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BF6A87" w:rsidRPr="003D26CD" w:rsidRDefault="00BF6A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Manjak prihoda od nefinancijske </w:t>
            </w:r>
            <w:r w:rsidR="00F97CFE">
              <w:rPr>
                <w:rFonts w:ascii="Arial Narrow" w:hAnsi="Arial Narrow"/>
              </w:rPr>
              <w:t>imovine Osnivač</w:t>
            </w:r>
          </w:p>
        </w:tc>
        <w:tc>
          <w:tcPr>
            <w:tcW w:w="711" w:type="pct"/>
            <w:tcBorders>
              <w:top w:val="outset" w:sz="6" w:space="0" w:color="548DD4" w:themeColor="text2" w:themeTint="99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BF6A87" w:rsidRDefault="00BF6A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3" w:type="pct"/>
            <w:tcBorders>
              <w:top w:val="outset" w:sz="6" w:space="0" w:color="548DD4" w:themeColor="text2" w:themeTint="99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BF6A87" w:rsidRDefault="00BF6A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F6A87" w:rsidRDefault="00BF6A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82" w:type="pct"/>
            <w:tcBorders>
              <w:top w:val="outset" w:sz="6" w:space="0" w:color="548DD4" w:themeColor="text2" w:themeTint="99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BF6A87" w:rsidRDefault="00BF6A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F6A87" w:rsidRDefault="00BF6A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-6.250,00</w:t>
            </w:r>
          </w:p>
        </w:tc>
        <w:tc>
          <w:tcPr>
            <w:tcW w:w="700" w:type="pct"/>
            <w:tcBorders>
              <w:top w:val="outset" w:sz="6" w:space="0" w:color="548DD4" w:themeColor="text2" w:themeTint="99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BF6A87" w:rsidRDefault="00BF6A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-6.250,00</w:t>
            </w:r>
          </w:p>
        </w:tc>
      </w:tr>
      <w:tr w:rsidR="00115887" w:rsidRPr="003D26CD" w:rsidTr="00115887">
        <w:trPr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963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 Manjak prihoda od n</w:t>
            </w:r>
            <w:r>
              <w:rPr>
                <w:rFonts w:ascii="Arial Narrow" w:hAnsi="Arial Narrow"/>
              </w:rPr>
              <w:t>efinancijske imovine AOO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115887" w:rsidRPr="001E2D3F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7365D" w:themeColor="text2" w:themeShade="BF"/>
              </w:rPr>
            </w:pP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Pr="00257134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:rsidR="00115887" w:rsidRPr="00257134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:rsidR="00115887" w:rsidRPr="00257134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257134">
              <w:rPr>
                <w:rFonts w:ascii="Arial Narrow" w:hAnsi="Arial Narrow"/>
                <w:color w:val="auto"/>
              </w:rPr>
              <w:t>-5.380,00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257134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:rsidR="00115887" w:rsidRPr="00257134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257134">
              <w:rPr>
                <w:rFonts w:ascii="Arial Narrow" w:hAnsi="Arial Narrow"/>
                <w:color w:val="auto"/>
              </w:rPr>
              <w:t>-5.380,00</w:t>
            </w:r>
          </w:p>
        </w:tc>
      </w:tr>
      <w:tr w:rsidR="00115887" w:rsidRPr="003D26CD" w:rsidTr="0011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115887" w:rsidRPr="003D26CD" w:rsidRDefault="00115887" w:rsidP="00965C3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9222</w:t>
            </w:r>
          </w:p>
        </w:tc>
        <w:tc>
          <w:tcPr>
            <w:tcW w:w="963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Višak/manjak od dugotrajne imovine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-7-990,97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Pr="00B9565A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  <w:p w:rsidR="00115887" w:rsidRPr="00B9565A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  <w:r w:rsidRPr="00F71CA8">
              <w:rPr>
                <w:rFonts w:ascii="Arial Narrow" w:hAnsi="Arial Narrow"/>
                <w:b/>
                <w:color w:val="auto"/>
              </w:rPr>
              <w:t>7.990,97</w:t>
            </w: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115887" w:rsidRPr="003D26CD" w:rsidRDefault="00115887" w:rsidP="00BF6A8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  <w:r w:rsidR="00BF6A87">
              <w:rPr>
                <w:rFonts w:ascii="Arial Narrow" w:hAnsi="Arial Narrow"/>
                <w:b/>
              </w:rPr>
              <w:t>15.346,99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3D26CD" w:rsidRDefault="00BF6A87" w:rsidP="00BF6A8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-15.346,99</w:t>
            </w:r>
          </w:p>
        </w:tc>
      </w:tr>
      <w:tr w:rsidR="00115887" w:rsidRPr="003D26CD" w:rsidTr="00115887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115887" w:rsidRPr="00257134" w:rsidRDefault="00115887" w:rsidP="00965C3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257134">
              <w:rPr>
                <w:rFonts w:ascii="Arial Narrow" w:hAnsi="Arial Narrow"/>
                <w:b/>
              </w:rPr>
              <w:t>922</w:t>
            </w:r>
          </w:p>
        </w:tc>
        <w:tc>
          <w:tcPr>
            <w:tcW w:w="963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VIŠAK/MANJAK PRIHODA 2022</w:t>
            </w:r>
            <w:r w:rsidRPr="003D26CD">
              <w:rPr>
                <w:rFonts w:ascii="Arial Narrow" w:hAnsi="Arial Narrow"/>
                <w:b/>
              </w:rPr>
              <w:t>. PRENOSIV U SL</w:t>
            </w:r>
            <w:r w:rsidR="00257134">
              <w:rPr>
                <w:rFonts w:ascii="Arial Narrow" w:hAnsi="Arial Narrow"/>
                <w:b/>
              </w:rPr>
              <w:t>I</w:t>
            </w:r>
            <w:r w:rsidRPr="003D26CD">
              <w:rPr>
                <w:rFonts w:ascii="Arial Narrow" w:hAnsi="Arial Narrow"/>
                <w:b/>
              </w:rPr>
              <w:t>JEDEĆE RAZDOBLJE</w:t>
            </w:r>
            <w:r>
              <w:rPr>
                <w:rFonts w:ascii="Arial Narrow" w:hAnsi="Arial Narrow"/>
                <w:b/>
              </w:rPr>
              <w:t xml:space="preserve"> 1.1.2023</w:t>
            </w:r>
          </w:p>
        </w:tc>
        <w:tc>
          <w:tcPr>
            <w:tcW w:w="71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-40.019,73</w:t>
            </w:r>
          </w:p>
        </w:tc>
        <w:tc>
          <w:tcPr>
            <w:tcW w:w="70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8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115887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-51.386,27</w:t>
            </w:r>
          </w:p>
        </w:tc>
        <w:tc>
          <w:tcPr>
            <w:tcW w:w="70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115887" w:rsidRPr="003D26CD" w:rsidRDefault="00115887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-91.406,00</w:t>
            </w:r>
          </w:p>
        </w:tc>
      </w:tr>
    </w:tbl>
    <w:p w:rsidR="00E96234" w:rsidRDefault="00E96234" w:rsidP="0090640C">
      <w:pPr>
        <w:spacing w:after="120"/>
        <w:rPr>
          <w:rFonts w:ascii="Arial Narrow" w:hAnsi="Arial Narrow"/>
          <w:b/>
        </w:rPr>
      </w:pPr>
    </w:p>
    <w:p w:rsidR="0090640C" w:rsidRPr="003D26CD" w:rsidRDefault="00232151" w:rsidP="0090640C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Škola je za 2022</w:t>
      </w:r>
      <w:r w:rsidR="0090640C" w:rsidRPr="003D26CD">
        <w:rPr>
          <w:rFonts w:ascii="Arial Narrow" w:hAnsi="Arial Narrow"/>
        </w:rPr>
        <w:t>. godinu iskazala manjak prihoda poslovanja zbog modificiranog načela nastanka događaja. Do 2014. godine korisnici su priznavali prihode 2014. godine koje su dobili od nadležne jedinice lokalne samouprave u 2015. godini za podmirenje obaveza po rashodima koji se financiraju iz pomoći izravnanja. To odst</w:t>
      </w:r>
      <w:r w:rsidR="0048706D" w:rsidRPr="003D26CD">
        <w:rPr>
          <w:rFonts w:ascii="Arial Narrow" w:hAnsi="Arial Narrow"/>
        </w:rPr>
        <w:t xml:space="preserve">upanje se više ne promjenjuje od </w:t>
      </w:r>
      <w:r w:rsidR="00585504" w:rsidRPr="003D26CD">
        <w:rPr>
          <w:rFonts w:ascii="Arial Narrow" w:hAnsi="Arial Narrow"/>
        </w:rPr>
        <w:t>20</w:t>
      </w:r>
      <w:r w:rsidR="009B4228">
        <w:rPr>
          <w:rFonts w:ascii="Arial Narrow" w:hAnsi="Arial Narrow"/>
        </w:rPr>
        <w:t>15. g</w:t>
      </w:r>
      <w:r w:rsidR="00890F4D">
        <w:rPr>
          <w:rFonts w:ascii="Arial Narrow" w:hAnsi="Arial Narrow"/>
        </w:rPr>
        <w:t>odin</w:t>
      </w:r>
      <w:r w:rsidR="009B4228">
        <w:rPr>
          <w:rFonts w:ascii="Arial Narrow" w:hAnsi="Arial Narrow"/>
        </w:rPr>
        <w:t>e.</w:t>
      </w:r>
      <w:r w:rsidR="00585504" w:rsidRPr="003D26CD">
        <w:rPr>
          <w:rFonts w:ascii="Arial Narrow" w:hAnsi="Arial Narrow"/>
        </w:rPr>
        <w:t xml:space="preserve"> Š</w:t>
      </w:r>
      <w:r w:rsidR="0090640C" w:rsidRPr="003D26CD">
        <w:rPr>
          <w:rFonts w:ascii="Arial Narrow" w:hAnsi="Arial Narrow"/>
        </w:rPr>
        <w:t>kola je kao proračunski korisnik iskazala</w:t>
      </w:r>
      <w:r w:rsidR="00EC5264">
        <w:rPr>
          <w:rFonts w:ascii="Arial Narrow" w:hAnsi="Arial Narrow"/>
        </w:rPr>
        <w:t xml:space="preserve"> rashode i obveza nastale u 202</w:t>
      </w:r>
      <w:r>
        <w:rPr>
          <w:rFonts w:ascii="Arial Narrow" w:hAnsi="Arial Narrow"/>
        </w:rPr>
        <w:t>2</w:t>
      </w:r>
      <w:r w:rsidR="0090640C" w:rsidRPr="003D26CD">
        <w:rPr>
          <w:rFonts w:ascii="Arial Narrow" w:hAnsi="Arial Narrow"/>
        </w:rPr>
        <w:t>. godini bez obzira  što te</w:t>
      </w:r>
      <w:r w:rsidR="00EC5264">
        <w:rPr>
          <w:rFonts w:ascii="Arial Narrow" w:hAnsi="Arial Narrow"/>
        </w:rPr>
        <w:t xml:space="preserve"> obveze nisu i podmirene u 2022</w:t>
      </w:r>
      <w:r w:rsidR="006D6B98" w:rsidRPr="003D26CD">
        <w:rPr>
          <w:rFonts w:ascii="Arial Narrow" w:hAnsi="Arial Narrow"/>
        </w:rPr>
        <w:t>.</w:t>
      </w:r>
      <w:r w:rsidR="00391576" w:rsidRPr="003D26CD">
        <w:rPr>
          <w:rFonts w:ascii="Arial Narrow" w:hAnsi="Arial Narrow"/>
        </w:rPr>
        <w:t>godini</w:t>
      </w:r>
      <w:r w:rsidR="006D6B98" w:rsidRPr="003D26CD">
        <w:rPr>
          <w:rFonts w:ascii="Arial Narrow" w:hAnsi="Arial Narrow"/>
        </w:rPr>
        <w:t>. Zbog</w:t>
      </w:r>
      <w:r w:rsidR="0048706D" w:rsidRPr="003D26CD">
        <w:rPr>
          <w:rFonts w:ascii="Arial Narrow" w:hAnsi="Arial Narrow"/>
        </w:rPr>
        <w:t xml:space="preserve"> </w:t>
      </w:r>
      <w:r w:rsidR="006D6B98" w:rsidRPr="003D26CD">
        <w:rPr>
          <w:rFonts w:ascii="Arial Narrow" w:hAnsi="Arial Narrow"/>
        </w:rPr>
        <w:t xml:space="preserve"> </w:t>
      </w:r>
      <w:r w:rsidR="0090640C" w:rsidRPr="003D26CD">
        <w:rPr>
          <w:rFonts w:ascii="Arial Narrow" w:hAnsi="Arial Narrow"/>
        </w:rPr>
        <w:t xml:space="preserve"> modificiranog načela nastanka događaja šk</w:t>
      </w:r>
      <w:r w:rsidR="006D6B98" w:rsidRPr="003D26CD">
        <w:rPr>
          <w:rFonts w:ascii="Arial Narrow" w:hAnsi="Arial Narrow"/>
        </w:rPr>
        <w:t>ola je završila godinu s manjkom.</w:t>
      </w:r>
    </w:p>
    <w:p w:rsidR="00F97367" w:rsidRPr="00F97367" w:rsidRDefault="00F97367" w:rsidP="00F97367">
      <w:pPr>
        <w:pStyle w:val="Tijeloteksta"/>
        <w:jc w:val="left"/>
        <w:rPr>
          <w:rFonts w:ascii="Arial Narrow" w:hAnsi="Arial Narrow"/>
          <w:b w:val="0"/>
        </w:rPr>
      </w:pPr>
    </w:p>
    <w:p w:rsidR="009368B5" w:rsidRDefault="009B33D6" w:rsidP="0090640C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Odluk</w:t>
      </w:r>
      <w:r w:rsidR="00C5580F" w:rsidRPr="003D26CD">
        <w:rPr>
          <w:rFonts w:ascii="Arial Narrow" w:hAnsi="Arial Narrow"/>
        </w:rPr>
        <w:t>om o prerasp</w:t>
      </w:r>
      <w:r w:rsidR="00232151">
        <w:rPr>
          <w:rFonts w:ascii="Arial Narrow" w:hAnsi="Arial Narrow"/>
        </w:rPr>
        <w:t>odjeli viška za 2021</w:t>
      </w:r>
      <w:r w:rsidRPr="003D26CD">
        <w:rPr>
          <w:rFonts w:ascii="Arial Narrow" w:hAnsi="Arial Narrow"/>
        </w:rPr>
        <w:t xml:space="preserve">.godinu, školski odbor je donio odluku da se iz </w:t>
      </w:r>
      <w:r w:rsidR="00232151">
        <w:rPr>
          <w:rFonts w:ascii="Arial Narrow" w:hAnsi="Arial Narrow"/>
        </w:rPr>
        <w:t>viška prihoda poslovanja iz 2021</w:t>
      </w:r>
      <w:r w:rsidRPr="003D26CD">
        <w:rPr>
          <w:rFonts w:ascii="Arial Narrow" w:hAnsi="Arial Narrow"/>
        </w:rPr>
        <w:t>.</w:t>
      </w:r>
      <w:r w:rsidR="00BF1EF0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godine pokrije manjak prihoda od nefinancijske imovine u iznosu od</w:t>
      </w:r>
      <w:r w:rsidR="00C5580F" w:rsidRPr="003D26CD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 </w:t>
      </w:r>
      <w:r w:rsidR="005C7249">
        <w:rPr>
          <w:rFonts w:ascii="Arial Narrow" w:hAnsi="Arial Narrow"/>
        </w:rPr>
        <w:t>7.990,97</w:t>
      </w:r>
      <w:r w:rsidR="00645783">
        <w:rPr>
          <w:rFonts w:ascii="Arial Narrow" w:hAnsi="Arial Narrow"/>
        </w:rPr>
        <w:t xml:space="preserve"> kn (vlastita sredstva</w:t>
      </w:r>
      <w:r w:rsidR="005C7249">
        <w:rPr>
          <w:rFonts w:ascii="Arial Narrow" w:hAnsi="Arial Narrow"/>
        </w:rPr>
        <w:t xml:space="preserve"> i Grad Sinj</w:t>
      </w:r>
      <w:r w:rsidR="00645783">
        <w:rPr>
          <w:rFonts w:ascii="Arial Narrow" w:hAnsi="Arial Narrow"/>
        </w:rPr>
        <w:t>) te je i za taj iznos korigiran manjak prihoda od</w:t>
      </w:r>
      <w:r w:rsidR="005C7249">
        <w:rPr>
          <w:rFonts w:ascii="Arial Narrow" w:hAnsi="Arial Narrow"/>
        </w:rPr>
        <w:t xml:space="preserve"> nefinancijske imovine 1.1.2022</w:t>
      </w:r>
      <w:r w:rsidR="00645783">
        <w:rPr>
          <w:rFonts w:ascii="Arial Narrow" w:hAnsi="Arial Narrow"/>
        </w:rPr>
        <w:t>. godine.</w:t>
      </w:r>
    </w:p>
    <w:p w:rsidR="005A3960" w:rsidRDefault="005A3960" w:rsidP="0090640C">
      <w:pPr>
        <w:spacing w:after="120"/>
        <w:rPr>
          <w:rFonts w:ascii="Arial Narrow" w:hAnsi="Arial Narrow"/>
        </w:rPr>
      </w:pPr>
    </w:p>
    <w:p w:rsidR="00257134" w:rsidRDefault="00257134" w:rsidP="0090640C">
      <w:pPr>
        <w:spacing w:after="120"/>
        <w:rPr>
          <w:rFonts w:ascii="Arial Narrow" w:hAnsi="Arial Narrow"/>
        </w:rPr>
      </w:pPr>
    </w:p>
    <w:p w:rsidR="005A3960" w:rsidRPr="003D26CD" w:rsidRDefault="005A3960" w:rsidP="0090640C">
      <w:pPr>
        <w:spacing w:after="120"/>
        <w:rPr>
          <w:rFonts w:ascii="Arial Narrow" w:hAnsi="Arial Narrow"/>
        </w:rPr>
      </w:pPr>
    </w:p>
    <w:p w:rsidR="005A3960" w:rsidRPr="003D26CD" w:rsidRDefault="0090640C" w:rsidP="005A3960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</w:rPr>
        <w:t xml:space="preserve"> </w:t>
      </w:r>
      <w:r w:rsidR="008B6338">
        <w:rPr>
          <w:rFonts w:ascii="Arial Narrow" w:hAnsi="Arial Narrow"/>
          <w:b/>
        </w:rPr>
        <w:t xml:space="preserve">Bilješka uz </w:t>
      </w:r>
      <w:r w:rsidR="005A3960" w:rsidRPr="003D26CD">
        <w:rPr>
          <w:rFonts w:ascii="Arial Narrow" w:hAnsi="Arial Narrow"/>
          <w:b/>
        </w:rPr>
        <w:t xml:space="preserve"> -  </w:t>
      </w:r>
      <w:proofErr w:type="spellStart"/>
      <w:r w:rsidR="005A3960">
        <w:rPr>
          <w:rFonts w:ascii="Arial Narrow" w:hAnsi="Arial Narrow"/>
          <w:b/>
        </w:rPr>
        <w:t>Izvanbilančni</w:t>
      </w:r>
      <w:proofErr w:type="spellEnd"/>
      <w:r w:rsidR="005A3960">
        <w:rPr>
          <w:rFonts w:ascii="Arial Narrow" w:hAnsi="Arial Narrow"/>
          <w:b/>
        </w:rPr>
        <w:t xml:space="preserve"> zapisi (=0)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53"/>
        <w:gridCol w:w="2172"/>
        <w:gridCol w:w="618"/>
        <w:gridCol w:w="1388"/>
        <w:gridCol w:w="1390"/>
        <w:gridCol w:w="1267"/>
      </w:tblGrid>
      <w:tr w:rsidR="005A3960" w:rsidRPr="003D26CD" w:rsidTr="0038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257134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A32C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1.1.2022</w:t>
            </w:r>
            <w:r w:rsidR="005A396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A32C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31.12.2022</w:t>
            </w:r>
            <w:r w:rsidR="005A396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5A3960" w:rsidRPr="003D26CD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5A3960" w:rsidRPr="003D26CD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1B39F7" w:rsidRDefault="005A3960" w:rsidP="00384085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1B39F7"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171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6D15C9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Izvanbilančni</w:t>
            </w:r>
            <w:proofErr w:type="spellEnd"/>
            <w:r>
              <w:rPr>
                <w:rFonts w:ascii="Arial Narrow" w:hAnsi="Arial Narrow"/>
                <w:b/>
              </w:rPr>
              <w:t xml:space="preserve"> zapisi</w:t>
            </w:r>
          </w:p>
        </w:tc>
        <w:tc>
          <w:tcPr>
            <w:tcW w:w="325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6D15C9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749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A5766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0B64E1" w:rsidRDefault="000B64E1" w:rsidP="000B64E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B64E1">
              <w:rPr>
                <w:rFonts w:ascii="Arial Narrow" w:hAnsi="Arial Narrow"/>
                <w:b/>
              </w:rPr>
              <w:t>0,00</w:t>
            </w:r>
          </w:p>
        </w:tc>
      </w:tr>
      <w:tr w:rsidR="005A3960" w:rsidRPr="003D26CD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1B39F7" w:rsidRDefault="00691A4E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1B39F7">
              <w:rPr>
                <w:rFonts w:ascii="Arial Narrow" w:eastAsiaTheme="minorEastAsia" w:hAnsi="Arial Narrow" w:cstheme="minorBidi"/>
                <w:color w:val="auto"/>
              </w:rPr>
              <w:lastRenderedPageBreak/>
              <w:t>991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B85F45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proofErr w:type="spellStart"/>
            <w:r>
              <w:rPr>
                <w:rFonts w:ascii="Arial Narrow" w:eastAsiaTheme="minorEastAsia" w:hAnsi="Arial Narrow" w:cstheme="minorBidi"/>
                <w:color w:val="auto"/>
              </w:rPr>
              <w:t>Izvan</w:t>
            </w:r>
            <w:r w:rsidR="005A3960" w:rsidRPr="001B39F7">
              <w:rPr>
                <w:rFonts w:ascii="Arial Narrow" w:eastAsiaTheme="minorEastAsia" w:hAnsi="Arial Narrow" w:cstheme="minorBidi"/>
                <w:color w:val="auto"/>
              </w:rPr>
              <w:t>bilančni</w:t>
            </w:r>
            <w:proofErr w:type="spellEnd"/>
            <w:r w:rsidR="005A3960" w:rsidRPr="001B39F7">
              <w:rPr>
                <w:rFonts w:ascii="Arial Narrow" w:eastAsiaTheme="minorEastAsia" w:hAnsi="Arial Narrow" w:cstheme="minorBidi"/>
                <w:color w:val="auto"/>
              </w:rPr>
              <w:t xml:space="preserve"> zapisi-Aktiva </w:t>
            </w: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6D15C9" w:rsidP="005A396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991</w:t>
            </w: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52360D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430.531,00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52360D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416.993,18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7971AC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96.9</w:t>
            </w:r>
          </w:p>
        </w:tc>
      </w:tr>
      <w:tr w:rsidR="005A3960" w:rsidRPr="003D26CD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Izvanbilančni</w:t>
            </w:r>
            <w:proofErr w:type="spellEnd"/>
            <w:r>
              <w:rPr>
                <w:rFonts w:ascii="Arial Narrow" w:hAnsi="Arial Narrow"/>
              </w:rPr>
              <w:t xml:space="preserve"> zapisi-Pasiva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6D15C9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996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2360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430.531,00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2360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416.993,18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7971AC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96,9</w:t>
            </w:r>
          </w:p>
        </w:tc>
      </w:tr>
    </w:tbl>
    <w:p w:rsidR="0042087D" w:rsidRDefault="00A5766A" w:rsidP="003844C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MZO i CARNET prebacili su Školi informatičku </w:t>
      </w:r>
      <w:r w:rsidR="009718FB">
        <w:rPr>
          <w:rFonts w:ascii="Arial Narrow" w:hAnsi="Arial Narrow"/>
        </w:rPr>
        <w:t>opremu u vrijednosti 173.872</w:t>
      </w:r>
      <w:r w:rsidR="008B6338">
        <w:rPr>
          <w:rFonts w:ascii="Arial Narrow" w:hAnsi="Arial Narrow"/>
        </w:rPr>
        <w:t xml:space="preserve">,41 </w:t>
      </w:r>
      <w:r w:rsidR="009718FB">
        <w:rPr>
          <w:rFonts w:ascii="Arial Narrow" w:hAnsi="Arial Narrow"/>
        </w:rPr>
        <w:t xml:space="preserve"> kn u 2019, a u 2020. još dodatnih </w:t>
      </w:r>
      <w:r w:rsidR="00D82E5A">
        <w:rPr>
          <w:rFonts w:ascii="Arial Narrow" w:hAnsi="Arial Narrow"/>
        </w:rPr>
        <w:t>189.059</w:t>
      </w:r>
      <w:r w:rsidR="00BC5840">
        <w:rPr>
          <w:rFonts w:ascii="Arial Narrow" w:hAnsi="Arial Narrow"/>
        </w:rPr>
        <w:t>,00</w:t>
      </w:r>
      <w:r w:rsidR="009718FB">
        <w:rPr>
          <w:rFonts w:ascii="Arial Narrow" w:hAnsi="Arial Narrow"/>
        </w:rPr>
        <w:t xml:space="preserve"> kn.</w:t>
      </w:r>
      <w:r w:rsidR="0025531B">
        <w:rPr>
          <w:rFonts w:ascii="Arial Narrow" w:hAnsi="Arial Narrow"/>
        </w:rPr>
        <w:t xml:space="preserve"> Prema uput</w:t>
      </w:r>
      <w:r w:rsidR="00A22DB0">
        <w:rPr>
          <w:rFonts w:ascii="Arial Narrow" w:hAnsi="Arial Narrow"/>
        </w:rPr>
        <w:t>ama</w:t>
      </w:r>
      <w:r>
        <w:rPr>
          <w:rFonts w:ascii="Arial Narrow" w:hAnsi="Arial Narrow"/>
        </w:rPr>
        <w:t>, Škola je vrijednost navedene opreme knjižila</w:t>
      </w:r>
      <w:r w:rsidR="00FA2978">
        <w:rPr>
          <w:rFonts w:ascii="Arial Narrow" w:hAnsi="Arial Narrow"/>
        </w:rPr>
        <w:t xml:space="preserve"> na Izva</w:t>
      </w:r>
      <w:r w:rsidR="00A22DB0">
        <w:rPr>
          <w:rFonts w:ascii="Arial Narrow" w:hAnsi="Arial Narrow"/>
        </w:rPr>
        <w:t xml:space="preserve">n bilančne zapise. U slijedećim </w:t>
      </w:r>
      <w:r w:rsidR="00FA2978">
        <w:rPr>
          <w:rFonts w:ascii="Arial Narrow" w:hAnsi="Arial Narrow"/>
        </w:rPr>
        <w:t xml:space="preserve"> godinam</w:t>
      </w:r>
      <w:r w:rsidR="0025531B">
        <w:rPr>
          <w:rFonts w:ascii="Arial Narrow" w:hAnsi="Arial Narrow"/>
        </w:rPr>
        <w:t>a</w:t>
      </w:r>
      <w:r w:rsidR="00FA29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izvršit će se prijenos vlasništva i ista imovina će se uvrstiti u poslovne knjige Škole.</w:t>
      </w:r>
    </w:p>
    <w:p w:rsidR="00A22DB0" w:rsidRPr="003D26CD" w:rsidRDefault="008B6338" w:rsidP="003844C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 2021</w:t>
      </w:r>
      <w:r w:rsidR="00A22DB0">
        <w:rPr>
          <w:rFonts w:ascii="Arial Narrow" w:hAnsi="Arial Narrow"/>
        </w:rPr>
        <w:t>. godini na izvan bilančne zapise  knjižena je procjena sudskih sporova u tijeku za 6 djelatnika Škole u iznosu 67.600 kn.</w:t>
      </w:r>
      <w:r>
        <w:rPr>
          <w:rFonts w:ascii="Arial Narrow" w:hAnsi="Arial Narrow"/>
        </w:rPr>
        <w:t xml:space="preserve"> U 2022. godini isplaćeno je sudskih sporova u iznosu 28.628.10 kn. Napravljena je nova procjena za istu namjenu u 2023. godini i iskazan je novi  iznos na dan 31.12.2022. godini na ovoj poziciji od 54.061,77 kn.</w:t>
      </w:r>
    </w:p>
    <w:p w:rsidR="000558D1" w:rsidRDefault="000558D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0558D1" w:rsidRPr="003D26CD" w:rsidRDefault="000558D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A36221" w:rsidRPr="00BD0C36" w:rsidRDefault="000237F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ab/>
      </w:r>
      <w:r w:rsidR="00273361" w:rsidRPr="00BD0C36">
        <w:rPr>
          <w:rFonts w:ascii="Arial Narrow" w:hAnsi="Arial Narrow"/>
          <w:b/>
          <w:sz w:val="32"/>
          <w:szCs w:val="32"/>
        </w:rPr>
        <w:t>Bilješke uz izvještaj o prihodima i rashodima, primicima i izdacima</w:t>
      </w:r>
    </w:p>
    <w:p w:rsidR="00A36221" w:rsidRDefault="00273361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Obrazac PR-RAS</w:t>
      </w:r>
    </w:p>
    <w:p w:rsidR="00BD0C36" w:rsidRDefault="00BD0C3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E31B76" w:rsidRDefault="00E31B7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E31B76" w:rsidRPr="00BD0C36" w:rsidRDefault="00E31B7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E57D4F" w:rsidRPr="003D26CD" w:rsidRDefault="00232151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Bilješka uz</w:t>
      </w:r>
      <w:r w:rsidR="00B60F43" w:rsidRPr="003D26CD">
        <w:rPr>
          <w:rFonts w:ascii="Arial Narrow" w:hAnsi="Arial Narrow"/>
          <w:b/>
        </w:rPr>
        <w:t xml:space="preserve"> </w:t>
      </w:r>
      <w:r w:rsidR="00B1501A">
        <w:rPr>
          <w:rFonts w:ascii="Arial Narrow" w:hAnsi="Arial Narrow"/>
          <w:b/>
        </w:rPr>
        <w:t>–</w:t>
      </w:r>
      <w:r w:rsidR="00B60F43" w:rsidRPr="003D26CD">
        <w:rPr>
          <w:rFonts w:ascii="Arial Narrow" w:hAnsi="Arial Narrow"/>
          <w:b/>
        </w:rPr>
        <w:t xml:space="preserve"> </w:t>
      </w:r>
      <w:r w:rsidR="00B52ADA">
        <w:rPr>
          <w:rFonts w:ascii="Arial Narrow" w:hAnsi="Arial Narrow"/>
          <w:b/>
        </w:rPr>
        <w:t>Ukupni rashodi i izdaci</w:t>
      </w:r>
      <w:r w:rsidR="009D3448" w:rsidRPr="003D26CD">
        <w:rPr>
          <w:rFonts w:ascii="Arial Narrow" w:hAnsi="Arial Narrow"/>
        </w:rPr>
        <w:tab/>
      </w:r>
    </w:p>
    <w:tbl>
      <w:tblPr>
        <w:tblStyle w:val="Srednjipopis2-Isticanje1"/>
        <w:tblW w:w="4823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24"/>
        <w:gridCol w:w="2295"/>
        <w:gridCol w:w="1570"/>
        <w:gridCol w:w="1140"/>
        <w:gridCol w:w="1566"/>
        <w:gridCol w:w="864"/>
      </w:tblGrid>
      <w:tr w:rsidR="00D840DF" w:rsidRPr="003D26CD" w:rsidTr="00232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Razred</w:t>
            </w:r>
          </w:p>
        </w:tc>
        <w:tc>
          <w:tcPr>
            <w:tcW w:w="12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Rashodi i izdaci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A32C60" w:rsidP="009148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2021</w:t>
            </w:r>
            <w:r w:rsidR="0091488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A32C60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2022</w:t>
            </w:r>
            <w:r w:rsidR="00913B64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godina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</w:tr>
      <w:tr w:rsidR="00D840DF" w:rsidRPr="003D26CD" w:rsidTr="0023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2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poslovanja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C1328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6.022.002,00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C1328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98,04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B46466" w:rsidRDefault="00C13280" w:rsidP="003932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6.514.520,89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B46466" w:rsidRDefault="00C1328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96,70</w:t>
            </w:r>
          </w:p>
        </w:tc>
      </w:tr>
      <w:tr w:rsidR="00E57D4F" w:rsidRPr="003D26CD" w:rsidTr="00232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281" w:type="pct"/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za nabavu nefinancijske imovine</w:t>
            </w:r>
          </w:p>
        </w:tc>
        <w:tc>
          <w:tcPr>
            <w:tcW w:w="876" w:type="pct"/>
            <w:vAlign w:val="center"/>
          </w:tcPr>
          <w:p w:rsidR="00E57D4F" w:rsidRPr="003D26CD" w:rsidRDefault="00C1328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120.481,00</w:t>
            </w:r>
          </w:p>
        </w:tc>
        <w:tc>
          <w:tcPr>
            <w:tcW w:w="636" w:type="pct"/>
            <w:vAlign w:val="center"/>
          </w:tcPr>
          <w:p w:rsidR="00914885" w:rsidRPr="003D26CD" w:rsidRDefault="00C13280" w:rsidP="009148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1,96</w:t>
            </w:r>
          </w:p>
        </w:tc>
        <w:tc>
          <w:tcPr>
            <w:tcW w:w="874" w:type="pct"/>
            <w:vAlign w:val="center"/>
          </w:tcPr>
          <w:p w:rsidR="00E57D4F" w:rsidRPr="00B46466" w:rsidRDefault="00C1328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222.139,91</w:t>
            </w:r>
          </w:p>
        </w:tc>
        <w:tc>
          <w:tcPr>
            <w:tcW w:w="482" w:type="pct"/>
            <w:vAlign w:val="center"/>
          </w:tcPr>
          <w:p w:rsidR="00E57D4F" w:rsidRPr="00B46466" w:rsidRDefault="00C1328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3,30</w:t>
            </w:r>
          </w:p>
        </w:tc>
      </w:tr>
      <w:tr w:rsidR="00D840DF" w:rsidRPr="003D26CD" w:rsidTr="0023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12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Izdaci za financijsku imovinu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B46466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B46466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B46466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B46466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  <w:tr w:rsidR="00E57D4F" w:rsidRPr="003D26CD" w:rsidTr="0023215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281" w:type="pct"/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Ukupno</w:t>
            </w:r>
          </w:p>
        </w:tc>
        <w:tc>
          <w:tcPr>
            <w:tcW w:w="876" w:type="pct"/>
            <w:vAlign w:val="center"/>
          </w:tcPr>
          <w:p w:rsidR="00E57D4F" w:rsidRPr="003D26CD" w:rsidRDefault="00C13280" w:rsidP="000E3AC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6.142.483,00</w:t>
            </w:r>
          </w:p>
        </w:tc>
        <w:tc>
          <w:tcPr>
            <w:tcW w:w="636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  <w:tc>
          <w:tcPr>
            <w:tcW w:w="874" w:type="pct"/>
            <w:vAlign w:val="center"/>
          </w:tcPr>
          <w:p w:rsidR="00E57D4F" w:rsidRPr="00B46466" w:rsidRDefault="00C1328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auto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6.736.660,80</w:t>
            </w:r>
          </w:p>
        </w:tc>
        <w:tc>
          <w:tcPr>
            <w:tcW w:w="482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</w:tr>
    </w:tbl>
    <w:p w:rsidR="009113CD" w:rsidRPr="003D26CD" w:rsidRDefault="00232151" w:rsidP="000237F1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 2022</w:t>
      </w:r>
      <w:r w:rsidR="005A11AF">
        <w:rPr>
          <w:rFonts w:ascii="Arial Narrow" w:hAnsi="Arial Narrow"/>
        </w:rPr>
        <w:t xml:space="preserve">.  </w:t>
      </w:r>
      <w:r w:rsidR="007A08D2" w:rsidRPr="003D26CD">
        <w:rPr>
          <w:rFonts w:ascii="Arial Narrow" w:hAnsi="Arial Narrow"/>
        </w:rPr>
        <w:t xml:space="preserve">rashodi poslovanja u </w:t>
      </w:r>
      <w:r>
        <w:rPr>
          <w:rFonts w:ascii="Arial Narrow" w:hAnsi="Arial Narrow"/>
        </w:rPr>
        <w:t xml:space="preserve"> odnosu  na ukupne troškove 2022</w:t>
      </w:r>
      <w:r w:rsidR="007A08D2" w:rsidRPr="003D26CD">
        <w:rPr>
          <w:rFonts w:ascii="Arial Narrow" w:hAnsi="Arial Narrow"/>
        </w:rPr>
        <w:t>.</w:t>
      </w:r>
      <w:r w:rsidR="001B0A12" w:rsidRPr="003D26CD">
        <w:rPr>
          <w:rFonts w:ascii="Arial Narrow" w:hAnsi="Arial Narrow"/>
        </w:rPr>
        <w:t xml:space="preserve"> </w:t>
      </w:r>
      <w:r w:rsidR="009113CD" w:rsidRPr="003D26CD">
        <w:rPr>
          <w:rFonts w:ascii="Arial Narrow" w:hAnsi="Arial Narrow"/>
        </w:rPr>
        <w:t xml:space="preserve"> su </w:t>
      </w:r>
      <w:r>
        <w:rPr>
          <w:rFonts w:ascii="Arial Narrow" w:hAnsi="Arial Narrow"/>
        </w:rPr>
        <w:t>smanjeni za 3,30%</w:t>
      </w:r>
    </w:p>
    <w:p w:rsidR="00232151" w:rsidRDefault="00232151" w:rsidP="000237F1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U 2022</w:t>
      </w:r>
      <w:r w:rsidR="009A5217" w:rsidRPr="003D26CD">
        <w:rPr>
          <w:rFonts w:ascii="Arial Narrow" w:hAnsi="Arial Narrow"/>
        </w:rPr>
        <w:t>. g</w:t>
      </w:r>
      <w:r w:rsidR="00DD016D" w:rsidRPr="003D26CD">
        <w:rPr>
          <w:rFonts w:ascii="Arial Narrow" w:hAnsi="Arial Narrow"/>
        </w:rPr>
        <w:t>odini u dugotraj</w:t>
      </w:r>
      <w:r w:rsidR="00BD43CC" w:rsidRPr="003D26CD">
        <w:rPr>
          <w:rFonts w:ascii="Arial Narrow" w:hAnsi="Arial Narrow"/>
        </w:rPr>
        <w:t xml:space="preserve">nu imovinu </w:t>
      </w:r>
      <w:r w:rsidR="009113CD" w:rsidRPr="003D26CD">
        <w:rPr>
          <w:rFonts w:ascii="Arial Narrow" w:hAnsi="Arial Narrow"/>
        </w:rPr>
        <w:t>( knjige-udžbenici</w:t>
      </w:r>
      <w:r w:rsidR="003255EB">
        <w:rPr>
          <w:rFonts w:ascii="Arial Narrow" w:hAnsi="Arial Narrow"/>
        </w:rPr>
        <w:t xml:space="preserve">, </w:t>
      </w:r>
      <w:r w:rsidR="005A11AF">
        <w:rPr>
          <w:rFonts w:ascii="Arial Narrow" w:hAnsi="Arial Narrow"/>
        </w:rPr>
        <w:t>lektira</w:t>
      </w:r>
      <w:r>
        <w:rPr>
          <w:rFonts w:ascii="Arial Narrow" w:hAnsi="Arial Narrow"/>
        </w:rPr>
        <w:t>,</w:t>
      </w:r>
      <w:r w:rsidR="005A11AF">
        <w:rPr>
          <w:rFonts w:ascii="Arial Narrow" w:hAnsi="Arial Narrow"/>
        </w:rPr>
        <w:t xml:space="preserve"> </w:t>
      </w:r>
      <w:r w:rsidR="003255EB">
        <w:rPr>
          <w:rFonts w:ascii="Arial Narrow" w:hAnsi="Arial Narrow"/>
        </w:rPr>
        <w:t>oprema</w:t>
      </w:r>
      <w:r>
        <w:rPr>
          <w:rFonts w:ascii="Arial Narrow" w:hAnsi="Arial Narrow"/>
        </w:rPr>
        <w:t xml:space="preserve">, </w:t>
      </w:r>
      <w:r w:rsidR="009113CD" w:rsidRPr="003D26CD">
        <w:rPr>
          <w:rFonts w:ascii="Arial Narrow" w:hAnsi="Arial Narrow"/>
        </w:rPr>
        <w:t xml:space="preserve">) </w:t>
      </w:r>
      <w:r w:rsidR="00BD43CC" w:rsidRPr="003D26CD">
        <w:rPr>
          <w:rFonts w:ascii="Arial Narrow" w:hAnsi="Arial Narrow"/>
        </w:rPr>
        <w:t>investirano je</w:t>
      </w:r>
      <w:r w:rsidR="007A08D2" w:rsidRPr="003D26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222.139,91</w:t>
      </w:r>
      <w:r w:rsidR="00021A3C">
        <w:rPr>
          <w:rFonts w:ascii="Arial Narrow" w:hAnsi="Arial Narrow"/>
        </w:rPr>
        <w:t xml:space="preserve"> </w:t>
      </w:r>
      <w:r w:rsidR="005A11AF">
        <w:rPr>
          <w:rFonts w:ascii="Arial Narrow" w:hAnsi="Arial Narrow"/>
        </w:rPr>
        <w:t xml:space="preserve">kn </w:t>
      </w:r>
      <w:r w:rsidR="009113CD" w:rsidRPr="003D26CD">
        <w:rPr>
          <w:rFonts w:ascii="Arial Narrow" w:hAnsi="Arial Narrow"/>
        </w:rPr>
        <w:t>.</w:t>
      </w:r>
    </w:p>
    <w:p w:rsidR="00DC078F" w:rsidRPr="00383199" w:rsidRDefault="009113CD" w:rsidP="000237F1">
      <w:pPr>
        <w:spacing w:after="120"/>
        <w:rPr>
          <w:rFonts w:ascii="Arial Narrow" w:hAnsi="Arial Narrow"/>
        </w:rPr>
      </w:pPr>
      <w:r w:rsidRPr="00383199">
        <w:rPr>
          <w:rFonts w:ascii="Arial Narrow" w:hAnsi="Arial Narrow"/>
        </w:rPr>
        <w:t xml:space="preserve"> </w:t>
      </w:r>
      <w:r w:rsidR="00232151" w:rsidRPr="00383199">
        <w:rPr>
          <w:rFonts w:ascii="Arial Narrow" w:hAnsi="Arial Narrow"/>
        </w:rPr>
        <w:t xml:space="preserve">Došlo je do povećanja rashoda za dugotrajnu imovinu i time do povećanja indeksa učešća rashoda za dugotrajnu imovinu u odnosu na ukupne troškove i smanjenja rashoda poslovanja u odnosu na ukupne troškove </w:t>
      </w:r>
      <w:r w:rsidR="00383199">
        <w:rPr>
          <w:rFonts w:ascii="Arial Narrow" w:hAnsi="Arial Narrow"/>
        </w:rPr>
        <w:t>(</w:t>
      </w:r>
      <w:r w:rsidR="00232151" w:rsidRPr="00383199">
        <w:rPr>
          <w:rFonts w:ascii="Arial Narrow" w:hAnsi="Arial Narrow"/>
        </w:rPr>
        <w:t>Indeks 3,</w:t>
      </w:r>
      <w:proofErr w:type="spellStart"/>
      <w:r w:rsidR="00232151" w:rsidRPr="00383199">
        <w:rPr>
          <w:rFonts w:ascii="Arial Narrow" w:hAnsi="Arial Narrow"/>
        </w:rPr>
        <w:t>3</w:t>
      </w:r>
      <w:proofErr w:type="spellEnd"/>
      <w:r w:rsidR="00232151" w:rsidRPr="00383199">
        <w:rPr>
          <w:rFonts w:ascii="Arial Narrow" w:hAnsi="Arial Narrow"/>
        </w:rPr>
        <w:t>%)</w:t>
      </w:r>
    </w:p>
    <w:p w:rsidR="00DE6B21" w:rsidRPr="003D26CD" w:rsidRDefault="00DE6B21" w:rsidP="000237F1">
      <w:pPr>
        <w:spacing w:after="120"/>
        <w:rPr>
          <w:rFonts w:ascii="Arial Narrow" w:hAnsi="Arial Narrow"/>
          <w:b/>
        </w:rPr>
      </w:pPr>
    </w:p>
    <w:p w:rsidR="00035058" w:rsidRPr="003D26CD" w:rsidRDefault="003F10E4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Bilješke u</w:t>
      </w:r>
      <w:r w:rsidR="00232151">
        <w:rPr>
          <w:rFonts w:ascii="Arial Narrow" w:hAnsi="Arial Narrow"/>
          <w:b/>
        </w:rPr>
        <w:t xml:space="preserve">z </w:t>
      </w:r>
      <w:r w:rsidR="00E83922" w:rsidRPr="003D26CD">
        <w:rPr>
          <w:rFonts w:ascii="Arial Narrow" w:hAnsi="Arial Narrow"/>
          <w:b/>
        </w:rPr>
        <w:t xml:space="preserve"> – </w:t>
      </w:r>
      <w:r w:rsidR="00382123" w:rsidRPr="003D26CD">
        <w:rPr>
          <w:rFonts w:ascii="Arial Narrow" w:hAnsi="Arial Narrow"/>
          <w:b/>
        </w:rPr>
        <w:t>Višak/</w:t>
      </w:r>
      <w:r w:rsidR="00E83922" w:rsidRPr="003D26CD">
        <w:rPr>
          <w:rFonts w:ascii="Arial Narrow" w:hAnsi="Arial Narrow"/>
          <w:b/>
        </w:rPr>
        <w:t>Manjak prihoda i primitaka</w:t>
      </w:r>
    </w:p>
    <w:tbl>
      <w:tblPr>
        <w:tblStyle w:val="Srednjipopis2-Isticanje1"/>
        <w:tblW w:w="5952" w:type="pct"/>
        <w:tblInd w:w="-601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993"/>
        <w:gridCol w:w="993"/>
        <w:gridCol w:w="993"/>
        <w:gridCol w:w="991"/>
        <w:gridCol w:w="993"/>
        <w:gridCol w:w="988"/>
        <w:gridCol w:w="1276"/>
      </w:tblGrid>
      <w:tr w:rsidR="00E13BD2" w:rsidRPr="003D26CD" w:rsidTr="00E13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449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2016. godina</w:t>
            </w:r>
          </w:p>
        </w:tc>
        <w:tc>
          <w:tcPr>
            <w:tcW w:w="449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2017. godina</w:t>
            </w:r>
          </w:p>
        </w:tc>
        <w:tc>
          <w:tcPr>
            <w:tcW w:w="449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</w:tcPr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</w:p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2018.</w:t>
            </w: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godina</w:t>
            </w:r>
          </w:p>
        </w:tc>
        <w:tc>
          <w:tcPr>
            <w:tcW w:w="448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</w:tcPr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2019.</w:t>
            </w: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godina</w:t>
            </w:r>
          </w:p>
        </w:tc>
        <w:tc>
          <w:tcPr>
            <w:tcW w:w="449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2020.</w:t>
            </w: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A32C60">
              <w:rPr>
                <w:rFonts w:ascii="Arial Narrow" w:eastAsiaTheme="minorEastAsia" w:hAnsi="Arial Narrow" w:cstheme="minorBidi"/>
                <w:b/>
                <w:color w:val="auto"/>
                <w:sz w:val="16"/>
                <w:szCs w:val="16"/>
              </w:rPr>
              <w:t>godina</w:t>
            </w:r>
          </w:p>
        </w:tc>
        <w:tc>
          <w:tcPr>
            <w:tcW w:w="447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A32C60">
              <w:rPr>
                <w:rFonts w:ascii="Arial Narrow" w:hAnsi="Arial Narrow"/>
                <w:b/>
                <w:sz w:val="16"/>
                <w:szCs w:val="16"/>
              </w:rPr>
              <w:t xml:space="preserve">2021. </w:t>
            </w: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A32C60">
              <w:rPr>
                <w:rFonts w:ascii="Arial Narrow" w:hAnsi="Arial Narrow"/>
                <w:b/>
                <w:sz w:val="16"/>
                <w:szCs w:val="16"/>
              </w:rPr>
              <w:t>godina</w:t>
            </w:r>
          </w:p>
        </w:tc>
        <w:tc>
          <w:tcPr>
            <w:tcW w:w="577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A32C60" w:rsidRP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A32C60">
              <w:rPr>
                <w:rFonts w:ascii="Arial Narrow" w:hAnsi="Arial Narrow"/>
                <w:b/>
                <w:sz w:val="16"/>
                <w:szCs w:val="16"/>
              </w:rPr>
              <w:t>2022.</w:t>
            </w:r>
          </w:p>
          <w:p w:rsidR="00A32C60" w:rsidRDefault="00A32C60" w:rsidP="00A32C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32C60">
              <w:rPr>
                <w:rFonts w:ascii="Arial Narrow" w:hAnsi="Arial Narrow"/>
                <w:b/>
                <w:sz w:val="16"/>
                <w:szCs w:val="16"/>
              </w:rPr>
              <w:t>godina</w:t>
            </w:r>
          </w:p>
        </w:tc>
      </w:tr>
      <w:tr w:rsidR="00E13BD2" w:rsidRPr="003D26CD" w:rsidTr="00E1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top w:val="single" w:sz="2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Prihodi poslovanja</w:t>
            </w:r>
          </w:p>
        </w:tc>
        <w:tc>
          <w:tcPr>
            <w:tcW w:w="449" w:type="pct"/>
            <w:tcBorders>
              <w:top w:val="single" w:sz="2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5.093.963</w:t>
            </w:r>
          </w:p>
        </w:tc>
        <w:tc>
          <w:tcPr>
            <w:tcW w:w="449" w:type="pct"/>
            <w:tcBorders>
              <w:top w:val="single" w:sz="2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5.349.369</w:t>
            </w:r>
          </w:p>
        </w:tc>
        <w:tc>
          <w:tcPr>
            <w:tcW w:w="449" w:type="pct"/>
            <w:tcBorders>
              <w:top w:val="single" w:sz="2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5.343.876</w:t>
            </w:r>
          </w:p>
        </w:tc>
        <w:tc>
          <w:tcPr>
            <w:tcW w:w="448" w:type="pct"/>
            <w:tcBorders>
              <w:top w:val="single" w:sz="2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7.086.938</w:t>
            </w:r>
          </w:p>
        </w:tc>
        <w:tc>
          <w:tcPr>
            <w:tcW w:w="449" w:type="pct"/>
            <w:tcBorders>
              <w:top w:val="single" w:sz="2" w:space="0" w:color="4F81BD" w:themeColor="accent1"/>
            </w:tcBorders>
          </w:tcPr>
          <w:p w:rsidR="00A32C60" w:rsidRPr="003D26CD" w:rsidRDefault="00A32C60" w:rsidP="00667F4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8.174.099</w:t>
            </w:r>
          </w:p>
        </w:tc>
        <w:tc>
          <w:tcPr>
            <w:tcW w:w="447" w:type="pct"/>
            <w:tcBorders>
              <w:top w:val="single" w:sz="2" w:space="0" w:color="4F81BD" w:themeColor="accent1"/>
            </w:tcBorders>
          </w:tcPr>
          <w:p w:rsidR="00A32C60" w:rsidRDefault="00A32C60" w:rsidP="00667F4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7.117.706</w:t>
            </w:r>
          </w:p>
        </w:tc>
        <w:tc>
          <w:tcPr>
            <w:tcW w:w="577" w:type="pct"/>
            <w:tcBorders>
              <w:top w:val="single" w:sz="2" w:space="0" w:color="4F81BD" w:themeColor="accent1"/>
            </w:tcBorders>
          </w:tcPr>
          <w:p w:rsidR="00A32C60" w:rsidRDefault="00E13BD2" w:rsidP="00667F4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6.685.274,53</w:t>
            </w:r>
          </w:p>
        </w:tc>
      </w:tr>
      <w:tr w:rsidR="00E13BD2" w:rsidRPr="003D26CD" w:rsidTr="00E13BD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lastRenderedPageBreak/>
              <w:t>Prihodi od prodaje nefinancijske imovine</w:t>
            </w:r>
          </w:p>
        </w:tc>
        <w:tc>
          <w:tcPr>
            <w:tcW w:w="449" w:type="pct"/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449" w:type="pct"/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A32C60" w:rsidRPr="003D26CD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A32C60" w:rsidRPr="003D26CD" w:rsidRDefault="00A32C60" w:rsidP="00B1501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A32C60" w:rsidRDefault="00E13BD2" w:rsidP="00B1501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13BD2" w:rsidRPr="003D26CD" w:rsidTr="00E1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Primici od nefinancijske</w:t>
            </w:r>
            <w:r w:rsidRPr="003D26CD">
              <w:rPr>
                <w:rFonts w:ascii="Arial Narrow" w:eastAsiaTheme="minorEastAsia" w:hAnsi="Arial Narrow"/>
              </w:rPr>
              <w:t xml:space="preserve"> imovine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B150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bottom w:val="single" w:sz="8" w:space="0" w:color="4F81BD" w:themeColor="accent1"/>
            </w:tcBorders>
          </w:tcPr>
          <w:p w:rsidR="00A32C60" w:rsidRDefault="00E13BD2" w:rsidP="00B150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13BD2" w:rsidRPr="003D26CD" w:rsidTr="00E1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Ukupni prihodi</w:t>
            </w:r>
            <w:r w:rsidRPr="003D26CD">
              <w:rPr>
                <w:rFonts w:ascii="Arial Narrow" w:eastAsiaTheme="minorEastAsia" w:hAnsi="Arial Narrow"/>
                <w:b/>
              </w:rPr>
              <w:t xml:space="preserve"> i primici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5.093.963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5.349.369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5.343.876</w:t>
            </w:r>
          </w:p>
        </w:tc>
        <w:tc>
          <w:tcPr>
            <w:tcW w:w="448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7.086.938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8.174.099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A32C60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7.117.706</w:t>
            </w:r>
          </w:p>
        </w:tc>
        <w:tc>
          <w:tcPr>
            <w:tcW w:w="577" w:type="pct"/>
            <w:tcBorders>
              <w:bottom w:val="single" w:sz="8" w:space="0" w:color="4F81BD" w:themeColor="accent1"/>
            </w:tcBorders>
          </w:tcPr>
          <w:p w:rsidR="00A32C60" w:rsidRDefault="00E13BD2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6.685.274,53</w:t>
            </w:r>
          </w:p>
        </w:tc>
      </w:tr>
      <w:tr w:rsidR="00E13BD2" w:rsidRPr="003D26CD" w:rsidTr="00E1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top w:val="single" w:sz="8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poslovanja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5.025.341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5.392.053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5.122.201</w:t>
            </w:r>
          </w:p>
        </w:tc>
        <w:tc>
          <w:tcPr>
            <w:tcW w:w="44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5.228.457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5.452.662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A32C60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6.022.002</w:t>
            </w:r>
          </w:p>
        </w:tc>
        <w:tc>
          <w:tcPr>
            <w:tcW w:w="5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E13BD2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6.514.520,89</w:t>
            </w:r>
          </w:p>
        </w:tc>
      </w:tr>
      <w:tr w:rsidR="00E13BD2" w:rsidRPr="003D26CD" w:rsidTr="00E1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za nabavu nefinancijske imovine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30.858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92.642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180.678</w:t>
            </w:r>
          </w:p>
        </w:tc>
        <w:tc>
          <w:tcPr>
            <w:tcW w:w="448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2.534.400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2.448.870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120.481</w:t>
            </w:r>
          </w:p>
        </w:tc>
        <w:tc>
          <w:tcPr>
            <w:tcW w:w="57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E13BD2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222.139,91</w:t>
            </w:r>
          </w:p>
        </w:tc>
      </w:tr>
      <w:tr w:rsidR="00E13BD2" w:rsidRPr="003D26CD" w:rsidTr="00E1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Izdaci od financijske imovine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E13BD2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13BD2" w:rsidRPr="003D26CD" w:rsidTr="00E1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Ukupni rashodi i izdaci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5.056.199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5.484.695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5.302.879</w:t>
            </w:r>
          </w:p>
        </w:tc>
        <w:tc>
          <w:tcPr>
            <w:tcW w:w="448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7.762.857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FA297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7.901.532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A32C60" w:rsidP="00FA297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6.142.483</w:t>
            </w:r>
          </w:p>
        </w:tc>
        <w:tc>
          <w:tcPr>
            <w:tcW w:w="57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E13BD2" w:rsidP="00FA297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6.736.660,80</w:t>
            </w:r>
          </w:p>
        </w:tc>
      </w:tr>
      <w:tr w:rsidR="00E13BD2" w:rsidRPr="003D26CD" w:rsidTr="00E1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prihoda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37.764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-135.326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40.997</w:t>
            </w:r>
          </w:p>
        </w:tc>
        <w:tc>
          <w:tcPr>
            <w:tcW w:w="44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-675.919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272.567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A32C60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975.223</w:t>
            </w:r>
          </w:p>
        </w:tc>
        <w:tc>
          <w:tcPr>
            <w:tcW w:w="5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E13BD2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-51.386,27</w:t>
            </w:r>
          </w:p>
        </w:tc>
      </w:tr>
      <w:tr w:rsidR="00E13BD2" w:rsidRPr="003D26CD" w:rsidTr="00E1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2C60" w:rsidRPr="003D26CD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prethodne godine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-20.880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  <w:vAlign w:val="center"/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16.884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-118.442</w:t>
            </w:r>
          </w:p>
        </w:tc>
        <w:tc>
          <w:tcPr>
            <w:tcW w:w="448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-77.445</w:t>
            </w:r>
          </w:p>
        </w:tc>
        <w:tc>
          <w:tcPr>
            <w:tcW w:w="449" w:type="pct"/>
            <w:tcBorders>
              <w:bottom w:val="single" w:sz="8" w:space="0" w:color="4F81BD" w:themeColor="accent1"/>
            </w:tcBorders>
          </w:tcPr>
          <w:p w:rsidR="00A32C60" w:rsidRPr="003D26CD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-805.586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A32C60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533.019</w:t>
            </w:r>
          </w:p>
        </w:tc>
        <w:tc>
          <w:tcPr>
            <w:tcW w:w="577" w:type="pct"/>
            <w:tcBorders>
              <w:bottom w:val="single" w:sz="8" w:space="0" w:color="4F81BD" w:themeColor="accent1"/>
            </w:tcBorders>
          </w:tcPr>
          <w:p w:rsidR="00A32C60" w:rsidRDefault="00E13BD2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-40.019,73</w:t>
            </w:r>
          </w:p>
        </w:tc>
      </w:tr>
      <w:tr w:rsidR="00E13BD2" w:rsidRPr="003D26CD" w:rsidTr="00E1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2C60" w:rsidRPr="00740375" w:rsidRDefault="00A32C60" w:rsidP="0025530A">
            <w:pPr>
              <w:spacing w:after="120"/>
              <w:jc w:val="center"/>
              <w:rPr>
                <w:rFonts w:ascii="Arial Narrow" w:hAnsi="Arial Narrow"/>
                <w:color w:val="FF0000"/>
              </w:rPr>
            </w:pPr>
            <w:r w:rsidRPr="00740375">
              <w:rPr>
                <w:rFonts w:ascii="Arial Narrow" w:hAnsi="Arial Narrow"/>
                <w:color w:val="FF0000"/>
              </w:rPr>
              <w:t>Korekcija rezultata/Energetska obnova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740375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2C60" w:rsidRPr="00740375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740375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32C60" w:rsidRPr="00740375" w:rsidRDefault="00A32C60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-52.222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Pr="00740375" w:rsidRDefault="00A32C60" w:rsidP="00B44C0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A32C60" w:rsidP="00B44C0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-482.224</w:t>
            </w:r>
          </w:p>
        </w:tc>
        <w:tc>
          <w:tcPr>
            <w:tcW w:w="5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32C60" w:rsidRDefault="002A2433" w:rsidP="00B44C0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</w:tr>
      <w:tr w:rsidR="00E13BD2" w:rsidRPr="003D26CD" w:rsidTr="00E1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2C60" w:rsidRPr="00013135" w:rsidRDefault="00A32C60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013135">
              <w:rPr>
                <w:rFonts w:ascii="Arial Narrow" w:eastAsiaTheme="minorEastAsia" w:hAnsi="Arial Narrow"/>
                <w:b/>
              </w:rPr>
              <w:t>Višak/manjak raspoloživ u sljedećem razdoblju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32C60" w:rsidRPr="00013135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3135">
              <w:rPr>
                <w:rFonts w:ascii="Arial Narrow" w:eastAsiaTheme="minorEastAsia" w:hAnsi="Arial Narrow"/>
                <w:b/>
                <w:sz w:val="20"/>
                <w:szCs w:val="20"/>
              </w:rPr>
              <w:t>16.884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A32C60" w:rsidRPr="00013135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3135">
              <w:rPr>
                <w:rFonts w:ascii="Arial Narrow" w:eastAsiaTheme="minorEastAsia" w:hAnsi="Arial Narrow"/>
                <w:b/>
                <w:sz w:val="20"/>
                <w:szCs w:val="20"/>
              </w:rPr>
              <w:t>-118.5442</w:t>
            </w:r>
          </w:p>
        </w:tc>
        <w:tc>
          <w:tcPr>
            <w:tcW w:w="44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013135" w:rsidRDefault="00A32C60" w:rsidP="00B44C0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3135">
              <w:rPr>
                <w:rFonts w:ascii="Arial Narrow" w:hAnsi="Arial Narrow" w:cstheme="minorHAnsi"/>
                <w:b/>
                <w:sz w:val="20"/>
                <w:szCs w:val="20"/>
              </w:rPr>
              <w:t>-77.445</w:t>
            </w:r>
          </w:p>
        </w:tc>
        <w:tc>
          <w:tcPr>
            <w:tcW w:w="448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32C60" w:rsidRPr="00013135" w:rsidRDefault="00A32C60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3135">
              <w:rPr>
                <w:rFonts w:ascii="Arial Narrow" w:hAnsi="Arial Narrow" w:cstheme="minorHAnsi"/>
                <w:b/>
                <w:sz w:val="20"/>
                <w:szCs w:val="20"/>
              </w:rPr>
              <w:t>-805.586</w:t>
            </w:r>
          </w:p>
        </w:tc>
        <w:tc>
          <w:tcPr>
            <w:tcW w:w="449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A32C60" w:rsidRPr="00013135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3135">
              <w:rPr>
                <w:rFonts w:ascii="Arial Narrow" w:hAnsi="Arial Narrow" w:cstheme="minorHAnsi"/>
                <w:b/>
                <w:sz w:val="20"/>
                <w:szCs w:val="20"/>
              </w:rPr>
              <w:t>-533.019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A32C60" w:rsidRPr="00013135" w:rsidRDefault="00A32C60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3135">
              <w:rPr>
                <w:rFonts w:ascii="Arial Narrow" w:hAnsi="Arial Narrow" w:cstheme="minorHAnsi"/>
                <w:b/>
                <w:sz w:val="20"/>
                <w:szCs w:val="20"/>
              </w:rPr>
              <w:t>-40.020</w:t>
            </w:r>
          </w:p>
        </w:tc>
        <w:tc>
          <w:tcPr>
            <w:tcW w:w="577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A32C60" w:rsidRPr="00013135" w:rsidRDefault="00E13BD2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3135">
              <w:rPr>
                <w:rFonts w:ascii="Arial Narrow" w:hAnsi="Arial Narrow" w:cstheme="minorHAnsi"/>
                <w:b/>
                <w:sz w:val="20"/>
                <w:szCs w:val="20"/>
              </w:rPr>
              <w:t>-91.406,00</w:t>
            </w:r>
          </w:p>
        </w:tc>
      </w:tr>
    </w:tbl>
    <w:p w:rsidR="00D81D6F" w:rsidRDefault="00F13F90" w:rsidP="0025530A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Struktura iskazanog manjka raspoloživog u sljedećem razdo</w:t>
      </w:r>
      <w:r w:rsidR="00D72DEF">
        <w:rPr>
          <w:rFonts w:ascii="Arial Narrow" w:hAnsi="Arial Narrow"/>
        </w:rPr>
        <w:t xml:space="preserve">blju je objašnjen pod </w:t>
      </w:r>
      <w:r w:rsidR="00232151">
        <w:rPr>
          <w:rFonts w:ascii="Arial Narrow" w:hAnsi="Arial Narrow"/>
        </w:rPr>
        <w:t>bilješkom Struktura viška/manjka za 2022. godinu</w:t>
      </w:r>
      <w:r w:rsidRPr="003D26CD">
        <w:rPr>
          <w:rFonts w:ascii="Arial Narrow" w:hAnsi="Arial Narrow"/>
        </w:rPr>
        <w:t>.</w:t>
      </w:r>
    </w:p>
    <w:p w:rsidR="002A2433" w:rsidRPr="002A2433" w:rsidRDefault="002A2433" w:rsidP="0025530A">
      <w:pPr>
        <w:spacing w:after="120"/>
        <w:rPr>
          <w:rFonts w:ascii="Arial Narrow" w:hAnsi="Arial Narrow"/>
          <w:color w:val="FF0000"/>
        </w:rPr>
      </w:pPr>
      <w:r w:rsidRPr="002A2433">
        <w:rPr>
          <w:rFonts w:ascii="Arial Narrow" w:hAnsi="Arial Narrow"/>
          <w:color w:val="FF0000"/>
        </w:rPr>
        <w:t>Napomena za korekciju rezultata u 2021. godini: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U 2017. godini škola je krenula u program energetske obnove. Županija je financirala izradu projektne dokumentacije u iznosu 55.555,55 kn ( Ugovori nisu bili sklopljeni)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U 2019. godinu sklopljen je i potpisan Ugovori o sufinanciranju provedbe EU projekata ( Ministarstvo regionalnog razvoja i fondova EU)  </w:t>
      </w:r>
      <w:r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a u 2018. godini  sklopljen je Ugovor o dodjeli bespovratnih sredstava za projekte koji se financiraju iz </w:t>
      </w:r>
      <w:r>
        <w:rPr>
          <w:rFonts w:ascii="Arial Narrow" w:hAnsi="Arial Narrow"/>
        </w:rPr>
        <w:t>Fondova u razdoblju 2014.-2020.</w:t>
      </w:r>
      <w:r w:rsidRPr="003D26CD">
        <w:rPr>
          <w:rFonts w:ascii="Arial Narrow" w:hAnsi="Arial Narrow"/>
        </w:rPr>
        <w:t xml:space="preserve"> ( Ministarstvo graditeljstva i prostornog uređenja i Fond za zaštitu okoliša i energetsku u</w:t>
      </w:r>
      <w:r>
        <w:rPr>
          <w:rFonts w:ascii="Arial Narrow" w:hAnsi="Arial Narrow"/>
        </w:rPr>
        <w:t>činkovitost) s jedne strane i  Š</w:t>
      </w:r>
      <w:r w:rsidRPr="003D26CD">
        <w:rPr>
          <w:rFonts w:ascii="Arial Narrow" w:hAnsi="Arial Narrow"/>
        </w:rPr>
        <w:t>kola s druge strane.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U 2017. godini trošak izrade projektne dokumentacije je iskazan  kao manjak Županije., a isti je pokriven u 2018. godini. </w:t>
      </w:r>
    </w:p>
    <w:p w:rsidR="00162829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Po  potpisivanju Ugovora iz kojeg je vidljivo da se iznos od 55.55</w:t>
      </w:r>
      <w:r>
        <w:rPr>
          <w:rFonts w:ascii="Arial Narrow" w:hAnsi="Arial Narrow"/>
        </w:rPr>
        <w:t>5,55 kn financira iz tri izvora ( b</w:t>
      </w:r>
      <w:r w:rsidRPr="003D26CD">
        <w:rPr>
          <w:rFonts w:ascii="Arial Narrow" w:hAnsi="Arial Narrow"/>
        </w:rPr>
        <w:t>espovratna sredstva 47.222 kn</w:t>
      </w:r>
      <w:r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,a ista su školi doznačena u 2019. godini, te 5.0</w:t>
      </w:r>
      <w:r>
        <w:rPr>
          <w:rFonts w:ascii="Arial Narrow" w:hAnsi="Arial Narrow"/>
        </w:rPr>
        <w:t>00 kn (</w:t>
      </w:r>
      <w:r w:rsidRPr="003D26CD">
        <w:rPr>
          <w:rFonts w:ascii="Arial Narrow" w:hAnsi="Arial Narrow"/>
        </w:rPr>
        <w:t>MRRFEU još nije doznačilo) napravljen je ispravak knjiženja, stvoren je manjak na 52.222 kn i obveza za povrat u Županijski Proračun.</w:t>
      </w:r>
    </w:p>
    <w:p w:rsidR="001D2641" w:rsidRDefault="001D2641" w:rsidP="001D264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Sukladno </w:t>
      </w:r>
      <w:r w:rsidRPr="0024028E">
        <w:rPr>
          <w:rFonts w:ascii="Arial Narrow" w:hAnsi="Arial Narrow"/>
          <w:sz w:val="20"/>
          <w:szCs w:val="20"/>
        </w:rPr>
        <w:t>UPUTAMA ZA RAČUNOVODSTVENO EVIDENTIRANJE PRIHODA I RASHODA IZ EU SREDSTAVA</w:t>
      </w:r>
      <w:r w:rsidRPr="00FF79EB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Pr="00FF79EB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C55F9E">
        <w:rPr>
          <w:rFonts w:ascii="Arial Narrow" w:hAnsi="Arial Narrow"/>
        </w:rPr>
        <w:t>škole,ministarstva, državne agencije i jedinice lokalne i područne (regionalne) samouprave  od strane Ministarstva financija Škola je knjižila troškove za EU projekte kako je u istima navedeno te je poslovni rezultat iskazan u strukturi poslovnog rezultat po Izvorima i vrstama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1D2641" w:rsidRDefault="001D2641" w:rsidP="001D2641">
      <w:pPr>
        <w:rPr>
          <w:rFonts w:ascii="Arial Narrow" w:hAnsi="Arial Narrow"/>
        </w:rPr>
      </w:pPr>
      <w:r w:rsidRPr="00063F25">
        <w:rPr>
          <w:rFonts w:ascii="Arial Narrow" w:hAnsi="Arial Narrow"/>
        </w:rPr>
        <w:t xml:space="preserve">U 11. </w:t>
      </w:r>
      <w:r w:rsidR="007A4467">
        <w:rPr>
          <w:rFonts w:ascii="Arial Narrow" w:hAnsi="Arial Narrow"/>
        </w:rPr>
        <w:t>m</w:t>
      </w:r>
      <w:r w:rsidRPr="00063F25">
        <w:rPr>
          <w:rFonts w:ascii="Arial Narrow" w:hAnsi="Arial Narrow"/>
        </w:rPr>
        <w:t>jesecu</w:t>
      </w:r>
      <w:r w:rsidR="00D32BDF">
        <w:rPr>
          <w:rFonts w:ascii="Arial Narrow" w:hAnsi="Arial Narrow"/>
        </w:rPr>
        <w:t xml:space="preserve"> 2021.</w:t>
      </w:r>
      <w:r w:rsidRPr="00063F25">
        <w:rPr>
          <w:rFonts w:ascii="Arial Narrow" w:hAnsi="Arial Narrow"/>
        </w:rPr>
        <w:t xml:space="preserve"> Školi su refundirana  posljednja bespovratna sredstva za Projekt energetske obnov</w:t>
      </w:r>
      <w:r w:rsidR="00D32BDF">
        <w:rPr>
          <w:rFonts w:ascii="Arial Narrow" w:hAnsi="Arial Narrow"/>
        </w:rPr>
        <w:t>e. Završetkom projekta i usklađivanje</w:t>
      </w:r>
      <w:r w:rsidRPr="00063F25">
        <w:rPr>
          <w:rFonts w:ascii="Arial Narrow" w:hAnsi="Arial Narrow"/>
        </w:rPr>
        <w:t>m stanja Škola je dužna</w:t>
      </w:r>
      <w:r>
        <w:rPr>
          <w:rFonts w:ascii="Arial Narrow" w:hAnsi="Arial Narrow"/>
        </w:rPr>
        <w:t xml:space="preserve"> u Županijski proračun </w:t>
      </w:r>
      <w:r w:rsidRPr="00063F25">
        <w:rPr>
          <w:rFonts w:ascii="Arial Narrow" w:hAnsi="Arial Narrow"/>
        </w:rPr>
        <w:t xml:space="preserve"> po</w:t>
      </w:r>
      <w:r>
        <w:rPr>
          <w:rFonts w:ascii="Arial Narrow" w:hAnsi="Arial Narrow"/>
        </w:rPr>
        <w:t xml:space="preserve">vratiti sredstva </w:t>
      </w:r>
      <w:r w:rsidRPr="00063F25">
        <w:rPr>
          <w:rFonts w:ascii="Arial Narrow" w:hAnsi="Arial Narrow"/>
        </w:rPr>
        <w:t>u iznosu 482.224 kn</w:t>
      </w:r>
      <w:r>
        <w:rPr>
          <w:rFonts w:ascii="Arial Narrow" w:hAnsi="Arial Narrow"/>
        </w:rPr>
        <w:t xml:space="preserve"> što je i napravila 31.12.2021. godine</w:t>
      </w:r>
    </w:p>
    <w:p w:rsidR="001D2641" w:rsidRDefault="001D2641" w:rsidP="001D2641">
      <w:pPr>
        <w:rPr>
          <w:rFonts w:ascii="Arial Narrow" w:hAnsi="Arial Narrow"/>
        </w:rPr>
      </w:pPr>
      <w:r>
        <w:rPr>
          <w:rFonts w:ascii="Arial Narrow" w:hAnsi="Arial Narrow"/>
        </w:rPr>
        <w:t>Za taj iznos korigiran je poslovni rezultat  1.1.2021. godine jer je uplata od strane Osnivača prikazana rezultatu poslovanja ( manjak prihoda od dugotrajne imovine).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U 2021. godini </w:t>
      </w:r>
      <w:r w:rsidRPr="003D26CD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iz ova dva izvora školi  ( EU I MRRIEUF) je doznačeno 920.843 kn. Razliku iskazanih potraživanja u iznosu 6</w:t>
      </w:r>
      <w:r w:rsidR="00D32BDF">
        <w:rPr>
          <w:rFonts w:ascii="Arial Narrow" w:hAnsi="Arial Narrow"/>
          <w:b w:val="0"/>
        </w:rPr>
        <w:t>18.759 po konačnoj uskladi i sal</w:t>
      </w:r>
      <w:r>
        <w:rPr>
          <w:rFonts w:ascii="Arial Narrow" w:hAnsi="Arial Narrow"/>
          <w:b w:val="0"/>
        </w:rPr>
        <w:t xml:space="preserve">diranju navedenog Projekta od sve tri strane 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( EU, MRREUF i Osnivača), knjižen je na teret Osnivača te su ista potraživanje zatvorena u cijelom iznosu.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Saldiranjem stanja  napravljena je korekcija viška/manjka 1.1.2021. jer je iskazani poslovni rezultat višak/manjak prikazan kao prebijeno stanje doznačenih sredstava od strane svih nosioca projekta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( manjak doznačenih sredstava EU i MRRIEUF i višak doznačenih sredstava Osnivača)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Nakon utvrđenog stvarnog poslovnog rezultata i svih provedenih knjiženja  Škola je u obvezi povratiti višak sredstava  u Županijski proračun u iznosu 488.224 kn i za taj iznos kn poslovni rezultat 1.1.2021. godine ( povećan je manjak)</w:t>
      </w:r>
    </w:p>
    <w:p w:rsidR="001D2641" w:rsidRPr="00F97367" w:rsidRDefault="001D2641" w:rsidP="001D2641">
      <w:pPr>
        <w:pStyle w:val="Tijeloteksta"/>
        <w:jc w:val="left"/>
        <w:rPr>
          <w:rFonts w:ascii="Arial Narrow" w:hAnsi="Arial Narrow"/>
          <w:b w:val="0"/>
        </w:rPr>
      </w:pPr>
    </w:p>
    <w:p w:rsidR="001D2641" w:rsidRDefault="001D2641" w:rsidP="00162829">
      <w:pPr>
        <w:spacing w:after="120"/>
        <w:rPr>
          <w:rFonts w:ascii="Arial Narrow" w:hAnsi="Arial Narrow"/>
        </w:rPr>
      </w:pPr>
    </w:p>
    <w:p w:rsidR="00F13F90" w:rsidRDefault="00F13F90" w:rsidP="0025530A">
      <w:pPr>
        <w:spacing w:after="120"/>
        <w:rPr>
          <w:rFonts w:ascii="Arial Narrow" w:hAnsi="Arial Narrow"/>
        </w:rPr>
      </w:pPr>
    </w:p>
    <w:p w:rsidR="000B4F64" w:rsidRPr="003D26CD" w:rsidRDefault="000B4F64" w:rsidP="0025530A">
      <w:pPr>
        <w:spacing w:after="120"/>
        <w:rPr>
          <w:rFonts w:ascii="Arial Narrow" w:hAnsi="Arial Narrow"/>
        </w:rPr>
      </w:pPr>
    </w:p>
    <w:p w:rsidR="008051E4" w:rsidRDefault="008051E4" w:rsidP="0025530A">
      <w:pPr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Bilješke uz izvještaj o obvezama – Obrazac Obveze</w:t>
      </w:r>
    </w:p>
    <w:p w:rsidR="003D4AEC" w:rsidRPr="003D26CD" w:rsidRDefault="003D4AEC" w:rsidP="008775D0">
      <w:pPr>
        <w:spacing w:after="120"/>
        <w:rPr>
          <w:rFonts w:ascii="Arial Narrow" w:hAnsi="Arial Narrow"/>
          <w:b/>
        </w:rPr>
      </w:pPr>
    </w:p>
    <w:p w:rsidR="003D4AEC" w:rsidRPr="003D26CD" w:rsidRDefault="003D4AEC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Stanje nedospjelih obveza na kraju izv</w:t>
      </w:r>
      <w:r w:rsidR="00F13F90" w:rsidRPr="003D26CD">
        <w:rPr>
          <w:rFonts w:ascii="Arial Narrow" w:hAnsi="Arial Narrow"/>
          <w:b/>
        </w:rPr>
        <w:t>ještajnog</w:t>
      </w:r>
      <w:r w:rsidR="00CA6438">
        <w:rPr>
          <w:rFonts w:ascii="Arial Narrow" w:hAnsi="Arial Narrow"/>
          <w:b/>
        </w:rPr>
        <w:t xml:space="preserve"> razdoblja </w:t>
      </w:r>
    </w:p>
    <w:tbl>
      <w:tblPr>
        <w:tblStyle w:val="Srednjipopis2-Isticanje1"/>
        <w:tblW w:w="482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63"/>
        <w:gridCol w:w="3754"/>
        <w:gridCol w:w="887"/>
        <w:gridCol w:w="2751"/>
      </w:tblGrid>
      <w:tr w:rsidR="00FB074D" w:rsidRPr="003D26CD" w:rsidTr="00CA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31796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1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EB15F5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2022</w:t>
            </w:r>
            <w:r w:rsidR="00FB074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</w:tr>
      <w:tr w:rsidR="00FB074D" w:rsidRPr="003D26CD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53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</w:tr>
      <w:tr w:rsidR="007971AC" w:rsidRPr="003D26CD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971AC" w:rsidRPr="003D26CD" w:rsidRDefault="007971AC" w:rsidP="00C123D2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096" w:type="pct"/>
            <w:tcBorders>
              <w:bottom w:val="single" w:sz="8" w:space="0" w:color="4F81BD" w:themeColor="accent1"/>
            </w:tcBorders>
            <w:vAlign w:val="center"/>
          </w:tcPr>
          <w:p w:rsidR="007971AC" w:rsidRPr="003D26CD" w:rsidRDefault="007971AC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Stanje obveza na kraju izvještajnog razdoblja</w:t>
            </w:r>
          </w:p>
        </w:tc>
        <w:tc>
          <w:tcPr>
            <w:tcW w:w="495" w:type="pct"/>
            <w:tcBorders>
              <w:bottom w:val="single" w:sz="8" w:space="0" w:color="4F81BD" w:themeColor="accent1"/>
            </w:tcBorders>
            <w:vAlign w:val="center"/>
          </w:tcPr>
          <w:p w:rsidR="007971AC" w:rsidRPr="003D26CD" w:rsidRDefault="00CA6438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V006</w:t>
            </w:r>
          </w:p>
        </w:tc>
        <w:tc>
          <w:tcPr>
            <w:tcW w:w="1536" w:type="pct"/>
            <w:tcBorders>
              <w:bottom w:val="single" w:sz="8" w:space="0" w:color="4F81BD" w:themeColor="accent1"/>
            </w:tcBorders>
            <w:vAlign w:val="center"/>
          </w:tcPr>
          <w:p w:rsidR="007971AC" w:rsidRDefault="000B4F64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712.594,46</w:t>
            </w:r>
          </w:p>
        </w:tc>
      </w:tr>
      <w:tr w:rsidR="00FB074D" w:rsidRPr="003D26CD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C123D2">
            <w:pPr>
              <w:spacing w:after="12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096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Međusobn</w:t>
            </w:r>
            <w:r w:rsidR="00CA6438">
              <w:rPr>
                <w:rFonts w:ascii="Arial Narrow" w:eastAsiaTheme="minorEastAsia" w:hAnsi="Arial Narrow"/>
                <w:b/>
              </w:rPr>
              <w:t>e  obveze subjekata općeg proračuna</w:t>
            </w:r>
          </w:p>
        </w:tc>
        <w:tc>
          <w:tcPr>
            <w:tcW w:w="495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CA6438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V010</w:t>
            </w:r>
          </w:p>
          <w:p w:rsidR="00C123D2" w:rsidRPr="003D26CD" w:rsidRDefault="00C123D2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536" w:type="pct"/>
            <w:tcBorders>
              <w:bottom w:val="single" w:sz="8" w:space="0" w:color="4F81BD" w:themeColor="accent1"/>
            </w:tcBorders>
            <w:vAlign w:val="center"/>
          </w:tcPr>
          <w:p w:rsidR="00FB074D" w:rsidRPr="008775D0" w:rsidRDefault="000B4F64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106.472,06</w:t>
            </w:r>
          </w:p>
        </w:tc>
      </w:tr>
      <w:tr w:rsidR="00824805" w:rsidRPr="003D26CD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824805" w:rsidRPr="003D26CD" w:rsidRDefault="00824805" w:rsidP="0025530A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3D26CD" w:rsidRDefault="00824805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rashode poslovanja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9D3BD1" w:rsidRDefault="00CA6438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D23</w:t>
            </w: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824805" w:rsidRPr="008775D0" w:rsidRDefault="00EE7428" w:rsidP="001E2E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EE7428">
              <w:rPr>
                <w:rFonts w:ascii="Arial Narrow" w:hAnsi="Arial Narrow"/>
                <w:b/>
                <w:color w:val="auto"/>
              </w:rPr>
              <w:t>606.122,40</w:t>
            </w:r>
          </w:p>
        </w:tc>
      </w:tr>
      <w:tr w:rsidR="00FB074D" w:rsidRPr="003D26CD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Obveze za 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zaposlene</w:t>
            </w:r>
          </w:p>
        </w:tc>
        <w:tc>
          <w:tcPr>
            <w:tcW w:w="49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CA6438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D231</w:t>
            </w:r>
          </w:p>
        </w:tc>
        <w:tc>
          <w:tcPr>
            <w:tcW w:w="153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8775D0" w:rsidRDefault="004840B8" w:rsidP="001E2EA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485.452,36</w:t>
            </w:r>
          </w:p>
        </w:tc>
      </w:tr>
      <w:tr w:rsidR="00DE765D" w:rsidRPr="003D26CD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DE765D" w:rsidRPr="003D26CD" w:rsidRDefault="00DE765D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232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DE765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Obveze za rashode poslovanja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CA6438" w:rsidP="00CA643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D232</w:t>
            </w: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DE765D" w:rsidRPr="008775D0" w:rsidRDefault="004840B8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FF0000"/>
              </w:rPr>
            </w:pPr>
            <w:r>
              <w:rPr>
                <w:rFonts w:ascii="Arial Narrow" w:eastAsiaTheme="minorEastAsia" w:hAnsi="Arial Narrow"/>
                <w:color w:val="auto"/>
              </w:rPr>
              <w:t>120.473,04</w:t>
            </w:r>
          </w:p>
        </w:tc>
      </w:tr>
      <w:tr w:rsidR="003B26E9" w:rsidRPr="003D26CD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3B26E9" w:rsidRPr="003D26CD" w:rsidRDefault="003B26E9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234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3B26E9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CA6438" w:rsidP="00CA643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D234</w:t>
            </w: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B26E9" w:rsidRPr="008775D0" w:rsidRDefault="004840B8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auto"/>
              </w:rPr>
              <w:t>197,00</w:t>
            </w:r>
          </w:p>
        </w:tc>
      </w:tr>
      <w:tr w:rsidR="00C123D2" w:rsidRPr="003D26CD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C123D2" w:rsidRPr="003D26CD" w:rsidRDefault="00C123D2" w:rsidP="00C123D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096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3D26CD" w:rsidRDefault="00C123D2" w:rsidP="00C123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nabavu nefinancijske imovine</w:t>
            </w:r>
          </w:p>
        </w:tc>
        <w:tc>
          <w:tcPr>
            <w:tcW w:w="495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ED4CD9" w:rsidRDefault="00CA6438" w:rsidP="00C123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D24</w:t>
            </w:r>
          </w:p>
        </w:tc>
        <w:tc>
          <w:tcPr>
            <w:tcW w:w="1536" w:type="pct"/>
            <w:tcBorders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C123D2" w:rsidRPr="008775D0" w:rsidRDefault="009F2377" w:rsidP="00C123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E55CB1">
              <w:rPr>
                <w:rFonts w:ascii="Arial Narrow" w:hAnsi="Arial Narrow"/>
                <w:b/>
                <w:color w:val="auto"/>
              </w:rPr>
              <w:t>-</w:t>
            </w:r>
          </w:p>
        </w:tc>
      </w:tr>
      <w:tr w:rsidR="008B123C" w:rsidRPr="003D26CD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8B123C" w:rsidRPr="003D26CD" w:rsidRDefault="008B123C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242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B123C" w:rsidRPr="003D26CD" w:rsidRDefault="00A1101A" w:rsidP="008B12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nabavu dugotrajne imovine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B123C" w:rsidRPr="003D26CD" w:rsidRDefault="008B123C" w:rsidP="009F237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8B123C" w:rsidRPr="008775D0" w:rsidRDefault="009F2377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E55CB1">
              <w:rPr>
                <w:rFonts w:ascii="Arial Narrow" w:hAnsi="Arial Narrow"/>
                <w:color w:val="auto"/>
              </w:rPr>
              <w:t>-</w:t>
            </w:r>
          </w:p>
        </w:tc>
      </w:tr>
    </w:tbl>
    <w:p w:rsidR="009F2377" w:rsidRPr="003D26CD" w:rsidRDefault="009F2377" w:rsidP="00051447">
      <w:pPr>
        <w:spacing w:after="120"/>
        <w:rPr>
          <w:rFonts w:ascii="Arial Narrow" w:hAnsi="Arial Narrow" w:cstheme="majorBidi"/>
          <w:b/>
          <w:color w:val="000000" w:themeColor="text1"/>
        </w:rPr>
      </w:pPr>
    </w:p>
    <w:p w:rsidR="009D3448" w:rsidRPr="003D26CD" w:rsidRDefault="008435F0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 w:cstheme="majorBidi"/>
          <w:color w:val="000000" w:themeColor="text1"/>
        </w:rPr>
        <w:t>Stanje nedospjelih međusobnih obveza odnosi se na bolovanje preko 42 dana na teret</w:t>
      </w:r>
      <w:r w:rsidR="00785415">
        <w:rPr>
          <w:rFonts w:ascii="Arial Narrow" w:hAnsi="Arial Narrow" w:cstheme="majorBidi"/>
          <w:color w:val="000000" w:themeColor="text1"/>
        </w:rPr>
        <w:t xml:space="preserve"> i obveza za povrat više plaćenih poreza i doprinosa po konačnom obračunu poreza na dohodak za 2022. godinu</w:t>
      </w:r>
      <w:r w:rsidRPr="003D26CD">
        <w:rPr>
          <w:rFonts w:ascii="Arial Narrow" w:hAnsi="Arial Narrow" w:cstheme="majorBidi"/>
          <w:color w:val="000000" w:themeColor="text1"/>
        </w:rPr>
        <w:t xml:space="preserve"> HZZO</w:t>
      </w:r>
      <w:r w:rsidR="00785415">
        <w:rPr>
          <w:rFonts w:ascii="Arial Narrow" w:hAnsi="Arial Narrow" w:cstheme="majorBidi"/>
          <w:color w:val="000000" w:themeColor="text1"/>
        </w:rPr>
        <w:t xml:space="preserve"> (</w:t>
      </w:r>
      <w:r w:rsidR="00B337A8">
        <w:rPr>
          <w:rFonts w:ascii="Arial Narrow" w:hAnsi="Arial Narrow" w:cstheme="majorBidi"/>
          <w:color w:val="000000" w:themeColor="text1"/>
        </w:rPr>
        <w:t xml:space="preserve"> </w:t>
      </w:r>
      <w:r w:rsidR="00B71848">
        <w:rPr>
          <w:rFonts w:ascii="Arial Narrow" w:hAnsi="Arial Narrow" w:cstheme="majorBidi"/>
          <w:color w:val="000000" w:themeColor="text1"/>
        </w:rPr>
        <w:t>106.472,06</w:t>
      </w:r>
      <w:r w:rsidR="00785415">
        <w:rPr>
          <w:rFonts w:ascii="Arial Narrow" w:hAnsi="Arial Narrow" w:cstheme="majorBidi"/>
          <w:color w:val="000000" w:themeColor="text1"/>
        </w:rPr>
        <w:t xml:space="preserve"> </w:t>
      </w:r>
      <w:r w:rsidR="00B337A8">
        <w:rPr>
          <w:rFonts w:ascii="Arial Narrow" w:hAnsi="Arial Narrow" w:cstheme="majorBidi"/>
          <w:color w:val="000000" w:themeColor="text1"/>
        </w:rPr>
        <w:t>kn</w:t>
      </w:r>
      <w:r w:rsidR="000B33BA" w:rsidRPr="003D26CD">
        <w:rPr>
          <w:rFonts w:ascii="Arial Narrow" w:hAnsi="Arial Narrow" w:cstheme="majorBidi"/>
          <w:color w:val="000000" w:themeColor="text1"/>
        </w:rPr>
        <w:t>)</w:t>
      </w:r>
      <w:r w:rsidR="00785415">
        <w:rPr>
          <w:rFonts w:ascii="Arial Narrow" w:hAnsi="Arial Narrow" w:cstheme="majorBidi"/>
          <w:color w:val="000000" w:themeColor="text1"/>
        </w:rPr>
        <w:t>.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231</w:t>
      </w:r>
      <w:r w:rsidRPr="003D26CD">
        <w:rPr>
          <w:rFonts w:ascii="Arial Narrow" w:hAnsi="Arial Narrow"/>
        </w:rPr>
        <w:t>)</w:t>
      </w:r>
      <w:r w:rsidR="003D268A" w:rsidRPr="003D26CD">
        <w:rPr>
          <w:rFonts w:ascii="Arial Narrow" w:hAnsi="Arial Narrow"/>
        </w:rPr>
        <w:t xml:space="preserve"> u iznosu </w:t>
      </w:r>
      <w:r w:rsidR="00785415">
        <w:rPr>
          <w:rFonts w:ascii="Arial Narrow" w:hAnsi="Arial Narrow"/>
        </w:rPr>
        <w:t>485.452,36</w:t>
      </w:r>
      <w:r w:rsidR="003B26E9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kn</w:t>
      </w:r>
      <w:r w:rsidR="00987953" w:rsidRPr="003D26CD">
        <w:rPr>
          <w:rFonts w:ascii="Arial Narrow" w:hAnsi="Arial Narrow"/>
        </w:rPr>
        <w:t xml:space="preserve"> odnos</w:t>
      </w:r>
      <w:r w:rsidR="005E020D">
        <w:rPr>
          <w:rFonts w:ascii="Arial Narrow" w:hAnsi="Arial Narrow"/>
        </w:rPr>
        <w:t xml:space="preserve">i se na </w:t>
      </w:r>
      <w:r w:rsidR="00785415">
        <w:rPr>
          <w:rFonts w:ascii="Arial Narrow" w:hAnsi="Arial Narrow"/>
        </w:rPr>
        <w:t>plaću 12/2022</w:t>
      </w:r>
      <w:r w:rsidRPr="003D26CD">
        <w:rPr>
          <w:rFonts w:ascii="Arial Narrow" w:hAnsi="Arial Narrow"/>
        </w:rPr>
        <w:t>.</w:t>
      </w:r>
      <w:r w:rsidR="004112DA">
        <w:rPr>
          <w:rFonts w:ascii="Arial Narrow" w:hAnsi="Arial Narrow"/>
        </w:rPr>
        <w:t xml:space="preserve">, materijalna prava </w:t>
      </w:r>
      <w:r w:rsidRPr="003D26CD">
        <w:rPr>
          <w:rFonts w:ascii="Arial Narrow" w:hAnsi="Arial Narrow"/>
        </w:rPr>
        <w:t xml:space="preserve"> 12./</w:t>
      </w:r>
      <w:r w:rsidR="00785415">
        <w:rPr>
          <w:rFonts w:ascii="Arial Narrow" w:hAnsi="Arial Narrow"/>
        </w:rPr>
        <w:t>2022</w:t>
      </w:r>
      <w:r w:rsidR="005E020D">
        <w:rPr>
          <w:rFonts w:ascii="Arial Narrow" w:hAnsi="Arial Narrow"/>
        </w:rPr>
        <w:t xml:space="preserve">. </w:t>
      </w:r>
      <w:r w:rsidR="004112DA">
        <w:rPr>
          <w:rFonts w:ascii="Arial Narrow" w:hAnsi="Arial Narrow"/>
        </w:rPr>
        <w:t xml:space="preserve"> 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232</w:t>
      </w:r>
      <w:r w:rsidRPr="003D26CD">
        <w:rPr>
          <w:rFonts w:ascii="Arial Narrow" w:hAnsi="Arial Narrow"/>
        </w:rPr>
        <w:t>)</w:t>
      </w:r>
      <w:r w:rsidR="00740375">
        <w:rPr>
          <w:rFonts w:ascii="Arial Narrow" w:hAnsi="Arial Narrow"/>
        </w:rPr>
        <w:t xml:space="preserve"> </w:t>
      </w:r>
      <w:r w:rsidR="008855E1" w:rsidRPr="003D26CD">
        <w:rPr>
          <w:rFonts w:ascii="Arial Narrow" w:hAnsi="Arial Narrow"/>
        </w:rPr>
        <w:t xml:space="preserve"> </w:t>
      </w:r>
      <w:r w:rsidR="00785415">
        <w:rPr>
          <w:rFonts w:ascii="Arial Narrow" w:hAnsi="Arial Narrow"/>
        </w:rPr>
        <w:t>120.473,04</w:t>
      </w:r>
      <w:r w:rsidR="009E3A6C" w:rsidRPr="003D26CD">
        <w:rPr>
          <w:rFonts w:ascii="Arial Narrow" w:hAnsi="Arial Narrow"/>
        </w:rPr>
        <w:t xml:space="preserve"> </w:t>
      </w:r>
      <w:r w:rsidR="0075671C" w:rsidRPr="003D26CD">
        <w:rPr>
          <w:rFonts w:ascii="Arial Narrow" w:hAnsi="Arial Narrow"/>
        </w:rPr>
        <w:t xml:space="preserve">kn </w:t>
      </w:r>
      <w:r w:rsidRPr="003D26CD">
        <w:rPr>
          <w:rFonts w:ascii="Arial Narrow" w:hAnsi="Arial Narrow"/>
        </w:rPr>
        <w:t xml:space="preserve"> odnosi se materijalne rashode s d</w:t>
      </w:r>
      <w:r w:rsidR="00E4255A" w:rsidRPr="003D26CD">
        <w:rPr>
          <w:rFonts w:ascii="Arial Narrow" w:hAnsi="Arial Narrow"/>
        </w:rPr>
        <w:t xml:space="preserve">ospijećem do kraja siječnja </w:t>
      </w:r>
      <w:r w:rsidR="00785415">
        <w:rPr>
          <w:rFonts w:ascii="Arial Narrow" w:hAnsi="Arial Narrow"/>
        </w:rPr>
        <w:t>2023</w:t>
      </w:r>
      <w:r w:rsidRPr="003D26CD">
        <w:rPr>
          <w:rFonts w:ascii="Arial Narrow" w:hAnsi="Arial Narrow"/>
        </w:rPr>
        <w:t>. godine</w:t>
      </w:r>
      <w:r w:rsidR="009E3A6C" w:rsidRPr="003D26CD">
        <w:rPr>
          <w:rFonts w:ascii="Arial Narrow" w:hAnsi="Arial Narrow"/>
        </w:rPr>
        <w:t>. Od toga</w:t>
      </w:r>
      <w:r w:rsidR="00785415">
        <w:rPr>
          <w:rFonts w:ascii="Arial Narrow" w:hAnsi="Arial Narrow"/>
        </w:rPr>
        <w:t xml:space="preserve"> </w:t>
      </w:r>
      <w:r w:rsidR="009E3A6C" w:rsidRPr="003D26CD">
        <w:rPr>
          <w:rFonts w:ascii="Arial Narrow" w:hAnsi="Arial Narrow"/>
        </w:rPr>
        <w:t xml:space="preserve"> </w:t>
      </w:r>
      <w:r w:rsidR="00785415">
        <w:rPr>
          <w:rFonts w:ascii="Arial Narrow" w:hAnsi="Arial Narrow"/>
        </w:rPr>
        <w:t>937,52</w:t>
      </w:r>
      <w:r w:rsidR="00E4255A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</w:t>
      </w:r>
      <w:r w:rsidR="00785415">
        <w:rPr>
          <w:rFonts w:ascii="Arial Narrow" w:hAnsi="Arial Narrow"/>
        </w:rPr>
        <w:t>n je naknada za invalide 12.2022</w:t>
      </w:r>
      <w:r w:rsidR="005E020D">
        <w:rPr>
          <w:rFonts w:ascii="Arial Narrow" w:hAnsi="Arial Narrow"/>
        </w:rPr>
        <w:t xml:space="preserve">. isplaćene </w:t>
      </w:r>
      <w:r w:rsidR="004112DA">
        <w:rPr>
          <w:rFonts w:ascii="Arial Narrow" w:hAnsi="Arial Narrow"/>
        </w:rPr>
        <w:t>u siječnju 2022</w:t>
      </w:r>
      <w:r w:rsidR="009E3A6C" w:rsidRPr="003D26CD">
        <w:rPr>
          <w:rFonts w:ascii="Arial Narrow" w:hAnsi="Arial Narrow"/>
        </w:rPr>
        <w:t>.,</w:t>
      </w:r>
      <w:r w:rsidR="008855E1" w:rsidRPr="003D26CD">
        <w:rPr>
          <w:rFonts w:ascii="Arial Narrow" w:hAnsi="Arial Narrow"/>
        </w:rPr>
        <w:t xml:space="preserve">  </w:t>
      </w:r>
      <w:r w:rsidR="003F3DEF" w:rsidRPr="003D26CD">
        <w:rPr>
          <w:rFonts w:ascii="Arial Narrow" w:hAnsi="Arial Narrow"/>
        </w:rPr>
        <w:t>ob</w:t>
      </w:r>
      <w:r w:rsidR="008855E1" w:rsidRPr="003D26CD">
        <w:rPr>
          <w:rFonts w:ascii="Arial Narrow" w:hAnsi="Arial Narrow"/>
        </w:rPr>
        <w:t xml:space="preserve">veze za materijalne rashode </w:t>
      </w:r>
      <w:r w:rsidR="005D7C5B" w:rsidRPr="003D26CD">
        <w:rPr>
          <w:rFonts w:ascii="Arial Narrow" w:hAnsi="Arial Narrow"/>
        </w:rPr>
        <w:t xml:space="preserve"> </w:t>
      </w:r>
      <w:r w:rsidR="00785415">
        <w:rPr>
          <w:rFonts w:ascii="Arial Narrow" w:hAnsi="Arial Narrow"/>
        </w:rPr>
        <w:t>98.168,13</w:t>
      </w:r>
      <w:r w:rsidR="009E3A6C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kn</w:t>
      </w:r>
      <w:r w:rsidR="008855E1" w:rsidRPr="003D26CD">
        <w:rPr>
          <w:rFonts w:ascii="Arial Narrow" w:hAnsi="Arial Narrow"/>
        </w:rPr>
        <w:t xml:space="preserve"> te</w:t>
      </w:r>
      <w:r w:rsidR="005D7C5B" w:rsidRPr="003D26CD">
        <w:rPr>
          <w:rFonts w:ascii="Arial Narrow" w:hAnsi="Arial Narrow"/>
        </w:rPr>
        <w:t xml:space="preserve"> naknada</w:t>
      </w:r>
      <w:r w:rsidR="00E4255A" w:rsidRPr="003D26CD">
        <w:rPr>
          <w:rFonts w:ascii="Arial Narrow" w:hAnsi="Arial Narrow"/>
        </w:rPr>
        <w:t xml:space="preserve"> za pr</w:t>
      </w:r>
      <w:r w:rsidR="009E3A6C" w:rsidRPr="003D26CD">
        <w:rPr>
          <w:rFonts w:ascii="Arial Narrow" w:hAnsi="Arial Narrow"/>
        </w:rPr>
        <w:t>ijevoz zaposlenik</w:t>
      </w:r>
      <w:r w:rsidR="00785415">
        <w:rPr>
          <w:rFonts w:ascii="Arial Narrow" w:hAnsi="Arial Narrow"/>
        </w:rPr>
        <w:t>a 12/2022. (</w:t>
      </w:r>
      <w:r w:rsidR="008855E1" w:rsidRPr="003D26CD">
        <w:rPr>
          <w:rFonts w:ascii="Arial Narrow" w:hAnsi="Arial Narrow"/>
        </w:rPr>
        <w:t xml:space="preserve"> </w:t>
      </w:r>
      <w:r w:rsidR="00785415">
        <w:rPr>
          <w:rFonts w:ascii="Arial Narrow" w:hAnsi="Arial Narrow"/>
        </w:rPr>
        <w:t>21.367,39)</w:t>
      </w:r>
      <w:r w:rsidR="00050AFA">
        <w:rPr>
          <w:rFonts w:ascii="Arial Narrow" w:hAnsi="Arial Narrow"/>
        </w:rPr>
        <w:t xml:space="preserve"> </w:t>
      </w:r>
      <w:r w:rsidR="00F25B95" w:rsidRPr="003D26CD">
        <w:rPr>
          <w:rFonts w:ascii="Arial Narrow" w:hAnsi="Arial Narrow"/>
        </w:rPr>
        <w:t>kn</w:t>
      </w:r>
      <w:r w:rsidR="00E94F15">
        <w:rPr>
          <w:rFonts w:ascii="Arial Narrow" w:hAnsi="Arial Narrow"/>
        </w:rPr>
        <w:t>.</w:t>
      </w:r>
    </w:p>
    <w:p w:rsidR="000B4F64" w:rsidRDefault="009E3A6C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234</w:t>
      </w:r>
      <w:r w:rsidRPr="003D26CD">
        <w:rPr>
          <w:rFonts w:ascii="Arial Narrow" w:hAnsi="Arial Narrow"/>
        </w:rPr>
        <w:t>)</w:t>
      </w:r>
      <w:r w:rsidR="006076AF">
        <w:rPr>
          <w:rFonts w:ascii="Arial Narrow" w:hAnsi="Arial Narrow"/>
        </w:rPr>
        <w:t xml:space="preserve"> od </w:t>
      </w:r>
      <w:r w:rsidR="00785415">
        <w:rPr>
          <w:rFonts w:ascii="Arial Narrow" w:hAnsi="Arial Narrow"/>
        </w:rPr>
        <w:t xml:space="preserve">197,00 </w:t>
      </w:r>
      <w:r w:rsidR="005D5C1A">
        <w:rPr>
          <w:rFonts w:ascii="Arial Narrow" w:hAnsi="Arial Narrow"/>
        </w:rPr>
        <w:t>kn</w:t>
      </w:r>
      <w:r w:rsidRPr="003D26CD">
        <w:rPr>
          <w:rFonts w:ascii="Arial Narrow" w:hAnsi="Arial Narrow"/>
        </w:rPr>
        <w:t xml:space="preserve"> odnosi</w:t>
      </w:r>
      <w:r w:rsidR="000558D1">
        <w:rPr>
          <w:rFonts w:ascii="Arial Narrow" w:hAnsi="Arial Narrow"/>
        </w:rPr>
        <w:t xml:space="preserve"> </w:t>
      </w:r>
      <w:r w:rsidR="00CA6438">
        <w:rPr>
          <w:rFonts w:ascii="Arial Narrow" w:hAnsi="Arial Narrow"/>
        </w:rPr>
        <w:t>se na bankarsku uslugu 12./2022</w:t>
      </w:r>
    </w:p>
    <w:p w:rsidR="00BD0C36" w:rsidRPr="003D26CD" w:rsidRDefault="00BD0C36" w:rsidP="00051447">
      <w:pPr>
        <w:spacing w:after="120"/>
        <w:rPr>
          <w:rFonts w:ascii="Arial Narrow" w:hAnsi="Arial Narrow"/>
        </w:rPr>
      </w:pPr>
    </w:p>
    <w:p w:rsidR="00BD0C36" w:rsidRPr="00BD0C36" w:rsidRDefault="003F3DEF" w:rsidP="00051447">
      <w:pPr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Bilješke iz izvještaj  o promjenama u vrijed</w:t>
      </w:r>
      <w:r w:rsidR="00BD0C36" w:rsidRPr="00BD0C36">
        <w:rPr>
          <w:rFonts w:ascii="Arial Narrow" w:hAnsi="Arial Narrow"/>
          <w:b/>
          <w:sz w:val="32"/>
          <w:szCs w:val="32"/>
        </w:rPr>
        <w:t>nosti i obujmu imovine i obveza</w:t>
      </w:r>
      <w:r w:rsidR="005B791D">
        <w:rPr>
          <w:rFonts w:ascii="Arial Narrow" w:hAnsi="Arial Narrow"/>
          <w:b/>
          <w:sz w:val="32"/>
          <w:szCs w:val="32"/>
        </w:rPr>
        <w:t xml:space="preserve"> Obrazac P-VRIO</w:t>
      </w:r>
    </w:p>
    <w:p w:rsidR="00BD0C36" w:rsidRDefault="00BD0C36" w:rsidP="00051447">
      <w:pPr>
        <w:spacing w:after="120"/>
        <w:rPr>
          <w:rFonts w:ascii="Arial Narrow" w:hAnsi="Arial Narrow"/>
          <w:b/>
        </w:rPr>
      </w:pPr>
    </w:p>
    <w:p w:rsidR="00BD0C36" w:rsidRPr="003D26CD" w:rsidRDefault="00BD0C36" w:rsidP="00051447">
      <w:pPr>
        <w:spacing w:after="120"/>
        <w:rPr>
          <w:rFonts w:ascii="Arial Narrow" w:hAnsi="Arial Narrow"/>
          <w:b/>
        </w:rPr>
      </w:pPr>
    </w:p>
    <w:p w:rsidR="00B7374A" w:rsidRPr="003D26CD" w:rsidRDefault="00B7374A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Promjene u vrijed</w:t>
      </w:r>
      <w:r w:rsidR="00BD0C36">
        <w:rPr>
          <w:rFonts w:ascii="Arial Narrow" w:hAnsi="Arial Narrow"/>
          <w:b/>
        </w:rPr>
        <w:t>nosti i obujmu imovine i obveza</w:t>
      </w:r>
    </w:p>
    <w:tbl>
      <w:tblPr>
        <w:tblStyle w:val="Srednjipopis2-Isticanje1"/>
        <w:tblW w:w="5000" w:type="pct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36"/>
        <w:gridCol w:w="2972"/>
        <w:gridCol w:w="814"/>
        <w:gridCol w:w="2133"/>
        <w:gridCol w:w="2133"/>
      </w:tblGrid>
      <w:tr w:rsidR="00B7374A" w:rsidRPr="003D26CD" w:rsidTr="00B73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E35DB0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Povećanje 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Smanjenje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7374A" w:rsidRPr="003D26CD" w:rsidTr="00B7374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6D352F" w:rsidP="00072779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9151</w:t>
            </w:r>
          </w:p>
        </w:tc>
        <w:tc>
          <w:tcPr>
            <w:tcW w:w="1600" w:type="pct"/>
            <w:vAlign w:val="center"/>
          </w:tcPr>
          <w:p w:rsidR="00B7374A" w:rsidRPr="003D26CD" w:rsidRDefault="005E7314" w:rsidP="005E731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P</w:t>
            </w:r>
            <w:r w:rsidR="00B7374A" w:rsidRPr="003D26CD">
              <w:rPr>
                <w:rFonts w:ascii="Arial Narrow" w:eastAsiaTheme="minorEastAsia" w:hAnsi="Arial Narrow"/>
              </w:rPr>
              <w:t xml:space="preserve">romjene u </w:t>
            </w:r>
            <w:r w:rsidR="006D352F">
              <w:rPr>
                <w:rFonts w:ascii="Arial Narrow" w:eastAsiaTheme="minorEastAsia" w:hAnsi="Arial Narrow"/>
              </w:rPr>
              <w:t xml:space="preserve">vrijednosti i </w:t>
            </w:r>
            <w:r w:rsidR="00B7374A" w:rsidRPr="003D26CD">
              <w:rPr>
                <w:rFonts w:ascii="Arial Narrow" w:eastAsiaTheme="minorEastAsia" w:hAnsi="Arial Narrow"/>
              </w:rPr>
              <w:t>obujmu imovine</w:t>
            </w:r>
          </w:p>
        </w:tc>
        <w:tc>
          <w:tcPr>
            <w:tcW w:w="438" w:type="pct"/>
            <w:vAlign w:val="center"/>
          </w:tcPr>
          <w:p w:rsidR="005E7314" w:rsidRPr="003D26CD" w:rsidRDefault="005E7314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B7374A" w:rsidRPr="003D26CD" w:rsidRDefault="00E35DB0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9151</w:t>
            </w:r>
          </w:p>
        </w:tc>
        <w:tc>
          <w:tcPr>
            <w:tcW w:w="1148" w:type="pct"/>
            <w:vAlign w:val="center"/>
          </w:tcPr>
          <w:p w:rsidR="00B7374A" w:rsidRPr="003D26CD" w:rsidRDefault="006D352F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-</w:t>
            </w:r>
          </w:p>
        </w:tc>
        <w:tc>
          <w:tcPr>
            <w:tcW w:w="1148" w:type="pct"/>
          </w:tcPr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5E7314" w:rsidRPr="003D26CD" w:rsidRDefault="006D352F" w:rsidP="00B13609">
            <w:pPr>
              <w:tabs>
                <w:tab w:val="left" w:pos="765"/>
                <w:tab w:val="center" w:pos="958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6D352F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9152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/>
              </w:rPr>
              <w:t xml:space="preserve">Promjene u  vrijednosti o obujmu obveza 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E35DB0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9152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7314" w:rsidRPr="003D26CD" w:rsidRDefault="006D352F" w:rsidP="00B136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561FA1" w:rsidRPr="003D26CD" w:rsidRDefault="009035B7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Računovođa škole:   </w:t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  <w:t>Ravnatelj škole:</w:t>
      </w:r>
    </w:p>
    <w:p w:rsidR="001D2802" w:rsidRPr="003D26CD" w:rsidRDefault="001D280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Vesna </w:t>
      </w:r>
      <w:proofErr w:type="spellStart"/>
      <w:r w:rsidRPr="003D26CD">
        <w:rPr>
          <w:rFonts w:ascii="Arial Narrow" w:hAnsi="Arial Narrow"/>
        </w:rPr>
        <w:t>Ivković</w:t>
      </w:r>
      <w:proofErr w:type="spellEnd"/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  <w:t>Tomislav Budimir</w:t>
      </w:r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sectPr w:rsidR="009D3448" w:rsidRPr="003D26CD" w:rsidSect="00FE7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60" w:rsidRDefault="00C76C60" w:rsidP="009C1741">
      <w:pPr>
        <w:spacing w:after="0" w:line="240" w:lineRule="auto"/>
      </w:pPr>
      <w:r>
        <w:separator/>
      </w:r>
    </w:p>
  </w:endnote>
  <w:endnote w:type="continuationSeparator" w:id="0">
    <w:p w:rsidR="00C76C60" w:rsidRDefault="00C76C60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36" w:rsidRDefault="00965C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2081"/>
      <w:docPartObj>
        <w:docPartGallery w:val="Page Numbers (Bottom of Page)"/>
        <w:docPartUnique/>
      </w:docPartObj>
    </w:sdtPr>
    <w:sdtEndPr/>
    <w:sdtContent>
      <w:p w:rsidR="00965C36" w:rsidRDefault="00965C3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C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5C36" w:rsidRDefault="00965C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36" w:rsidRDefault="00965C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60" w:rsidRDefault="00C76C60" w:rsidP="009C1741">
      <w:pPr>
        <w:spacing w:after="0" w:line="240" w:lineRule="auto"/>
      </w:pPr>
      <w:r>
        <w:separator/>
      </w:r>
    </w:p>
  </w:footnote>
  <w:footnote w:type="continuationSeparator" w:id="0">
    <w:p w:rsidR="00C76C60" w:rsidRDefault="00C76C60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36" w:rsidRDefault="00965C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36" w:rsidRDefault="00965C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36" w:rsidRDefault="00965C3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8"/>
    <w:rsid w:val="00000F29"/>
    <w:rsid w:val="000110A5"/>
    <w:rsid w:val="00011290"/>
    <w:rsid w:val="000119F7"/>
    <w:rsid w:val="00012224"/>
    <w:rsid w:val="00013135"/>
    <w:rsid w:val="00013E32"/>
    <w:rsid w:val="00017D6D"/>
    <w:rsid w:val="00021A3C"/>
    <w:rsid w:val="00022AF2"/>
    <w:rsid w:val="000237F1"/>
    <w:rsid w:val="00026A5B"/>
    <w:rsid w:val="000306D8"/>
    <w:rsid w:val="00031366"/>
    <w:rsid w:val="00031C91"/>
    <w:rsid w:val="0003230B"/>
    <w:rsid w:val="00034E90"/>
    <w:rsid w:val="00035058"/>
    <w:rsid w:val="00040530"/>
    <w:rsid w:val="00040A3E"/>
    <w:rsid w:val="00040AFA"/>
    <w:rsid w:val="0004293C"/>
    <w:rsid w:val="00042AE4"/>
    <w:rsid w:val="0004521E"/>
    <w:rsid w:val="00045F70"/>
    <w:rsid w:val="000504CC"/>
    <w:rsid w:val="00050AFA"/>
    <w:rsid w:val="00051447"/>
    <w:rsid w:val="00052354"/>
    <w:rsid w:val="00055027"/>
    <w:rsid w:val="000558D1"/>
    <w:rsid w:val="00057057"/>
    <w:rsid w:val="00063F25"/>
    <w:rsid w:val="000716C6"/>
    <w:rsid w:val="0007203D"/>
    <w:rsid w:val="00072779"/>
    <w:rsid w:val="00077BBC"/>
    <w:rsid w:val="00082197"/>
    <w:rsid w:val="00082CB6"/>
    <w:rsid w:val="00085070"/>
    <w:rsid w:val="0008526B"/>
    <w:rsid w:val="00086D73"/>
    <w:rsid w:val="00093705"/>
    <w:rsid w:val="00096A5E"/>
    <w:rsid w:val="000A0531"/>
    <w:rsid w:val="000A3D13"/>
    <w:rsid w:val="000A7340"/>
    <w:rsid w:val="000B0DD5"/>
    <w:rsid w:val="000B18D2"/>
    <w:rsid w:val="000B33BA"/>
    <w:rsid w:val="000B47B3"/>
    <w:rsid w:val="000B4F64"/>
    <w:rsid w:val="000B6364"/>
    <w:rsid w:val="000B64E1"/>
    <w:rsid w:val="000B7A39"/>
    <w:rsid w:val="000C239A"/>
    <w:rsid w:val="000C29FB"/>
    <w:rsid w:val="000C2DDB"/>
    <w:rsid w:val="000C347D"/>
    <w:rsid w:val="000C7085"/>
    <w:rsid w:val="000C717E"/>
    <w:rsid w:val="000D1A89"/>
    <w:rsid w:val="000D38B3"/>
    <w:rsid w:val="000D5F2D"/>
    <w:rsid w:val="000D60C6"/>
    <w:rsid w:val="000D7814"/>
    <w:rsid w:val="000E3AC8"/>
    <w:rsid w:val="000E4AE9"/>
    <w:rsid w:val="000E4FF3"/>
    <w:rsid w:val="000F4BDB"/>
    <w:rsid w:val="000F533F"/>
    <w:rsid w:val="0010070A"/>
    <w:rsid w:val="00105111"/>
    <w:rsid w:val="00112517"/>
    <w:rsid w:val="00114016"/>
    <w:rsid w:val="00115887"/>
    <w:rsid w:val="00116A73"/>
    <w:rsid w:val="001207EF"/>
    <w:rsid w:val="00124DFB"/>
    <w:rsid w:val="0013424B"/>
    <w:rsid w:val="001342B1"/>
    <w:rsid w:val="0013482A"/>
    <w:rsid w:val="00134D5C"/>
    <w:rsid w:val="00135D03"/>
    <w:rsid w:val="0014130B"/>
    <w:rsid w:val="00141D50"/>
    <w:rsid w:val="00142B8F"/>
    <w:rsid w:val="00146E82"/>
    <w:rsid w:val="00147D2D"/>
    <w:rsid w:val="00152B1A"/>
    <w:rsid w:val="00154A48"/>
    <w:rsid w:val="00155654"/>
    <w:rsid w:val="00157057"/>
    <w:rsid w:val="00157111"/>
    <w:rsid w:val="0016025B"/>
    <w:rsid w:val="00162829"/>
    <w:rsid w:val="00163B34"/>
    <w:rsid w:val="00164C1B"/>
    <w:rsid w:val="00166A92"/>
    <w:rsid w:val="001673E2"/>
    <w:rsid w:val="001675C3"/>
    <w:rsid w:val="00176559"/>
    <w:rsid w:val="00177DEE"/>
    <w:rsid w:val="001812B0"/>
    <w:rsid w:val="001814BF"/>
    <w:rsid w:val="0018211C"/>
    <w:rsid w:val="00182183"/>
    <w:rsid w:val="00183198"/>
    <w:rsid w:val="00186701"/>
    <w:rsid w:val="0018710B"/>
    <w:rsid w:val="00191188"/>
    <w:rsid w:val="0019143A"/>
    <w:rsid w:val="00192165"/>
    <w:rsid w:val="00192796"/>
    <w:rsid w:val="00194EC0"/>
    <w:rsid w:val="001967BC"/>
    <w:rsid w:val="001A0FA7"/>
    <w:rsid w:val="001A2527"/>
    <w:rsid w:val="001A2ED9"/>
    <w:rsid w:val="001A531E"/>
    <w:rsid w:val="001A7234"/>
    <w:rsid w:val="001B0A12"/>
    <w:rsid w:val="001B1CA3"/>
    <w:rsid w:val="001B39F7"/>
    <w:rsid w:val="001C0F79"/>
    <w:rsid w:val="001C23D2"/>
    <w:rsid w:val="001C6C39"/>
    <w:rsid w:val="001D2641"/>
    <w:rsid w:val="001D2802"/>
    <w:rsid w:val="001D5412"/>
    <w:rsid w:val="001D7800"/>
    <w:rsid w:val="001E1AFC"/>
    <w:rsid w:val="001E2D3F"/>
    <w:rsid w:val="001E2EA9"/>
    <w:rsid w:val="001E5449"/>
    <w:rsid w:val="001E704A"/>
    <w:rsid w:val="001F6F4B"/>
    <w:rsid w:val="001F7131"/>
    <w:rsid w:val="001F7DF1"/>
    <w:rsid w:val="001F7EEB"/>
    <w:rsid w:val="002017C0"/>
    <w:rsid w:val="00202460"/>
    <w:rsid w:val="00202BEA"/>
    <w:rsid w:val="00203B43"/>
    <w:rsid w:val="0020474C"/>
    <w:rsid w:val="00204ABD"/>
    <w:rsid w:val="00205D29"/>
    <w:rsid w:val="002156F7"/>
    <w:rsid w:val="00226A4A"/>
    <w:rsid w:val="00230F06"/>
    <w:rsid w:val="002310CB"/>
    <w:rsid w:val="00231B91"/>
    <w:rsid w:val="00232151"/>
    <w:rsid w:val="0023227F"/>
    <w:rsid w:val="00234C31"/>
    <w:rsid w:val="00236913"/>
    <w:rsid w:val="00237CD4"/>
    <w:rsid w:val="0024028E"/>
    <w:rsid w:val="00241A08"/>
    <w:rsid w:val="00244BE0"/>
    <w:rsid w:val="0024699D"/>
    <w:rsid w:val="00246B66"/>
    <w:rsid w:val="0025443E"/>
    <w:rsid w:val="00254C67"/>
    <w:rsid w:val="0025530A"/>
    <w:rsid w:val="0025531B"/>
    <w:rsid w:val="00257134"/>
    <w:rsid w:val="00257DC8"/>
    <w:rsid w:val="00262F43"/>
    <w:rsid w:val="00264505"/>
    <w:rsid w:val="00266897"/>
    <w:rsid w:val="00267209"/>
    <w:rsid w:val="002678D5"/>
    <w:rsid w:val="00273361"/>
    <w:rsid w:val="00275523"/>
    <w:rsid w:val="002760D7"/>
    <w:rsid w:val="002802C0"/>
    <w:rsid w:val="00290D42"/>
    <w:rsid w:val="002915CE"/>
    <w:rsid w:val="002944CA"/>
    <w:rsid w:val="002963BD"/>
    <w:rsid w:val="00297561"/>
    <w:rsid w:val="002A0860"/>
    <w:rsid w:val="002A2433"/>
    <w:rsid w:val="002A40AE"/>
    <w:rsid w:val="002A4D9A"/>
    <w:rsid w:val="002B2911"/>
    <w:rsid w:val="002C239C"/>
    <w:rsid w:val="002C76A9"/>
    <w:rsid w:val="002D680D"/>
    <w:rsid w:val="002E1599"/>
    <w:rsid w:val="002E444E"/>
    <w:rsid w:val="002F2669"/>
    <w:rsid w:val="002F6710"/>
    <w:rsid w:val="002F6CFD"/>
    <w:rsid w:val="00302DAD"/>
    <w:rsid w:val="003034FA"/>
    <w:rsid w:val="003071FA"/>
    <w:rsid w:val="00311AAA"/>
    <w:rsid w:val="00313D32"/>
    <w:rsid w:val="00313DEC"/>
    <w:rsid w:val="003151C1"/>
    <w:rsid w:val="003164DA"/>
    <w:rsid w:val="00316A8A"/>
    <w:rsid w:val="0031796F"/>
    <w:rsid w:val="00320654"/>
    <w:rsid w:val="00322BBB"/>
    <w:rsid w:val="003255EB"/>
    <w:rsid w:val="00332A2D"/>
    <w:rsid w:val="00332FC0"/>
    <w:rsid w:val="003341C3"/>
    <w:rsid w:val="00334C82"/>
    <w:rsid w:val="00335847"/>
    <w:rsid w:val="00337D9E"/>
    <w:rsid w:val="003411D6"/>
    <w:rsid w:val="003435D0"/>
    <w:rsid w:val="003469AF"/>
    <w:rsid w:val="00346C0D"/>
    <w:rsid w:val="00351279"/>
    <w:rsid w:val="00353A86"/>
    <w:rsid w:val="0036547B"/>
    <w:rsid w:val="00370826"/>
    <w:rsid w:val="00374D92"/>
    <w:rsid w:val="00382123"/>
    <w:rsid w:val="003822EF"/>
    <w:rsid w:val="00382FF8"/>
    <w:rsid w:val="00383199"/>
    <w:rsid w:val="00384085"/>
    <w:rsid w:val="003844CB"/>
    <w:rsid w:val="00384C0D"/>
    <w:rsid w:val="00391576"/>
    <w:rsid w:val="0039325B"/>
    <w:rsid w:val="00394664"/>
    <w:rsid w:val="003A09BC"/>
    <w:rsid w:val="003A237A"/>
    <w:rsid w:val="003A6BED"/>
    <w:rsid w:val="003A7F54"/>
    <w:rsid w:val="003B26E9"/>
    <w:rsid w:val="003B3EE0"/>
    <w:rsid w:val="003B5926"/>
    <w:rsid w:val="003C1896"/>
    <w:rsid w:val="003C240C"/>
    <w:rsid w:val="003C2773"/>
    <w:rsid w:val="003C64EB"/>
    <w:rsid w:val="003C6AB8"/>
    <w:rsid w:val="003C6B67"/>
    <w:rsid w:val="003C6D40"/>
    <w:rsid w:val="003D02DE"/>
    <w:rsid w:val="003D268A"/>
    <w:rsid w:val="003D26CD"/>
    <w:rsid w:val="003D4AEC"/>
    <w:rsid w:val="003D6A47"/>
    <w:rsid w:val="003E24C0"/>
    <w:rsid w:val="003E6BB8"/>
    <w:rsid w:val="003F10E4"/>
    <w:rsid w:val="003F3DEF"/>
    <w:rsid w:val="003F424E"/>
    <w:rsid w:val="0040375B"/>
    <w:rsid w:val="0040582D"/>
    <w:rsid w:val="00410210"/>
    <w:rsid w:val="004112DA"/>
    <w:rsid w:val="00413F8E"/>
    <w:rsid w:val="00415700"/>
    <w:rsid w:val="004159F5"/>
    <w:rsid w:val="00416024"/>
    <w:rsid w:val="0042087D"/>
    <w:rsid w:val="00420A8A"/>
    <w:rsid w:val="00426B3E"/>
    <w:rsid w:val="004329AF"/>
    <w:rsid w:val="00436263"/>
    <w:rsid w:val="0044011C"/>
    <w:rsid w:val="00442E8C"/>
    <w:rsid w:val="00446B76"/>
    <w:rsid w:val="004472D1"/>
    <w:rsid w:val="00447833"/>
    <w:rsid w:val="0045370A"/>
    <w:rsid w:val="0045517E"/>
    <w:rsid w:val="00456BE2"/>
    <w:rsid w:val="004571AA"/>
    <w:rsid w:val="00457EDF"/>
    <w:rsid w:val="0046155E"/>
    <w:rsid w:val="00461CB8"/>
    <w:rsid w:val="004627EB"/>
    <w:rsid w:val="00462D3E"/>
    <w:rsid w:val="004631E6"/>
    <w:rsid w:val="00464C07"/>
    <w:rsid w:val="00465394"/>
    <w:rsid w:val="00466259"/>
    <w:rsid w:val="004662F0"/>
    <w:rsid w:val="00466D64"/>
    <w:rsid w:val="00467469"/>
    <w:rsid w:val="00471573"/>
    <w:rsid w:val="00473111"/>
    <w:rsid w:val="00473BF7"/>
    <w:rsid w:val="00474045"/>
    <w:rsid w:val="00474739"/>
    <w:rsid w:val="00475EBB"/>
    <w:rsid w:val="0047790A"/>
    <w:rsid w:val="004840B8"/>
    <w:rsid w:val="0048706D"/>
    <w:rsid w:val="00490C8D"/>
    <w:rsid w:val="00495DED"/>
    <w:rsid w:val="0049648C"/>
    <w:rsid w:val="00497567"/>
    <w:rsid w:val="004A3651"/>
    <w:rsid w:val="004A4860"/>
    <w:rsid w:val="004A4C7B"/>
    <w:rsid w:val="004A530B"/>
    <w:rsid w:val="004B197E"/>
    <w:rsid w:val="004B1AA6"/>
    <w:rsid w:val="004B372F"/>
    <w:rsid w:val="004B3C43"/>
    <w:rsid w:val="004B5387"/>
    <w:rsid w:val="004C3471"/>
    <w:rsid w:val="004C417F"/>
    <w:rsid w:val="004C4CFF"/>
    <w:rsid w:val="004C5A26"/>
    <w:rsid w:val="004C6BB1"/>
    <w:rsid w:val="004D061E"/>
    <w:rsid w:val="004D74F2"/>
    <w:rsid w:val="004E0588"/>
    <w:rsid w:val="004F052A"/>
    <w:rsid w:val="004F1384"/>
    <w:rsid w:val="004F7836"/>
    <w:rsid w:val="00500CCB"/>
    <w:rsid w:val="00503406"/>
    <w:rsid w:val="0050405B"/>
    <w:rsid w:val="00504ECD"/>
    <w:rsid w:val="00504F41"/>
    <w:rsid w:val="00507DEB"/>
    <w:rsid w:val="00514268"/>
    <w:rsid w:val="00514B7D"/>
    <w:rsid w:val="00522B4C"/>
    <w:rsid w:val="00522C10"/>
    <w:rsid w:val="00522FA6"/>
    <w:rsid w:val="0052360D"/>
    <w:rsid w:val="00523876"/>
    <w:rsid w:val="00525229"/>
    <w:rsid w:val="0052650B"/>
    <w:rsid w:val="005267CF"/>
    <w:rsid w:val="005268A6"/>
    <w:rsid w:val="00526C5B"/>
    <w:rsid w:val="00534573"/>
    <w:rsid w:val="00534834"/>
    <w:rsid w:val="00536F37"/>
    <w:rsid w:val="00541EFD"/>
    <w:rsid w:val="00542225"/>
    <w:rsid w:val="00561FA1"/>
    <w:rsid w:val="0057344B"/>
    <w:rsid w:val="00576695"/>
    <w:rsid w:val="00576F28"/>
    <w:rsid w:val="00577023"/>
    <w:rsid w:val="005851F7"/>
    <w:rsid w:val="00585504"/>
    <w:rsid w:val="0058655C"/>
    <w:rsid w:val="00594598"/>
    <w:rsid w:val="005966D2"/>
    <w:rsid w:val="005A11AF"/>
    <w:rsid w:val="005A3221"/>
    <w:rsid w:val="005A3960"/>
    <w:rsid w:val="005B69A3"/>
    <w:rsid w:val="005B7046"/>
    <w:rsid w:val="005B76D2"/>
    <w:rsid w:val="005B791D"/>
    <w:rsid w:val="005C3A92"/>
    <w:rsid w:val="005C4AB0"/>
    <w:rsid w:val="005C60E6"/>
    <w:rsid w:val="005C7249"/>
    <w:rsid w:val="005C7A75"/>
    <w:rsid w:val="005C7C32"/>
    <w:rsid w:val="005D29CD"/>
    <w:rsid w:val="005D57D1"/>
    <w:rsid w:val="005D5C1A"/>
    <w:rsid w:val="005D7C5B"/>
    <w:rsid w:val="005E020D"/>
    <w:rsid w:val="005E067E"/>
    <w:rsid w:val="005E48D2"/>
    <w:rsid w:val="005E7314"/>
    <w:rsid w:val="005F0028"/>
    <w:rsid w:val="005F21D2"/>
    <w:rsid w:val="005F5408"/>
    <w:rsid w:val="005F66B6"/>
    <w:rsid w:val="00602DD9"/>
    <w:rsid w:val="00603AD8"/>
    <w:rsid w:val="006076AF"/>
    <w:rsid w:val="00607AFC"/>
    <w:rsid w:val="00611232"/>
    <w:rsid w:val="00611511"/>
    <w:rsid w:val="00614659"/>
    <w:rsid w:val="006158F5"/>
    <w:rsid w:val="00623521"/>
    <w:rsid w:val="006263A3"/>
    <w:rsid w:val="00627574"/>
    <w:rsid w:val="00630695"/>
    <w:rsid w:val="00633944"/>
    <w:rsid w:val="00637BFB"/>
    <w:rsid w:val="00642273"/>
    <w:rsid w:val="00643243"/>
    <w:rsid w:val="00645783"/>
    <w:rsid w:val="00647423"/>
    <w:rsid w:val="00651039"/>
    <w:rsid w:val="00651348"/>
    <w:rsid w:val="0065644C"/>
    <w:rsid w:val="00656802"/>
    <w:rsid w:val="00657628"/>
    <w:rsid w:val="006607A5"/>
    <w:rsid w:val="00660804"/>
    <w:rsid w:val="006612E2"/>
    <w:rsid w:val="00665BEB"/>
    <w:rsid w:val="006662EE"/>
    <w:rsid w:val="00667F49"/>
    <w:rsid w:val="0067262E"/>
    <w:rsid w:val="0067438C"/>
    <w:rsid w:val="00674A58"/>
    <w:rsid w:val="00676330"/>
    <w:rsid w:val="00676596"/>
    <w:rsid w:val="006808FC"/>
    <w:rsid w:val="00681AD2"/>
    <w:rsid w:val="00685FF4"/>
    <w:rsid w:val="006875F2"/>
    <w:rsid w:val="006917E7"/>
    <w:rsid w:val="00691A4E"/>
    <w:rsid w:val="00695B44"/>
    <w:rsid w:val="00697F45"/>
    <w:rsid w:val="00697F5E"/>
    <w:rsid w:val="006A104F"/>
    <w:rsid w:val="006A14C3"/>
    <w:rsid w:val="006A36E9"/>
    <w:rsid w:val="006A70B3"/>
    <w:rsid w:val="006A75D9"/>
    <w:rsid w:val="006A7A65"/>
    <w:rsid w:val="006A7DC2"/>
    <w:rsid w:val="006A7F60"/>
    <w:rsid w:val="006B0B55"/>
    <w:rsid w:val="006B28CA"/>
    <w:rsid w:val="006B6112"/>
    <w:rsid w:val="006B7174"/>
    <w:rsid w:val="006C1C5E"/>
    <w:rsid w:val="006C3759"/>
    <w:rsid w:val="006C4A06"/>
    <w:rsid w:val="006D15C9"/>
    <w:rsid w:val="006D352F"/>
    <w:rsid w:val="006D53A5"/>
    <w:rsid w:val="006D55A8"/>
    <w:rsid w:val="006D6823"/>
    <w:rsid w:val="006D6B98"/>
    <w:rsid w:val="006D762F"/>
    <w:rsid w:val="006E1266"/>
    <w:rsid w:val="006F336A"/>
    <w:rsid w:val="006F42C4"/>
    <w:rsid w:val="00702802"/>
    <w:rsid w:val="00715842"/>
    <w:rsid w:val="007169FB"/>
    <w:rsid w:val="00716A33"/>
    <w:rsid w:val="00722B4A"/>
    <w:rsid w:val="00724D75"/>
    <w:rsid w:val="0072781B"/>
    <w:rsid w:val="00731572"/>
    <w:rsid w:val="00732028"/>
    <w:rsid w:val="00733213"/>
    <w:rsid w:val="00740375"/>
    <w:rsid w:val="007435F7"/>
    <w:rsid w:val="00744378"/>
    <w:rsid w:val="0074501E"/>
    <w:rsid w:val="00751661"/>
    <w:rsid w:val="00752356"/>
    <w:rsid w:val="00753EA2"/>
    <w:rsid w:val="00754E9F"/>
    <w:rsid w:val="0075665F"/>
    <w:rsid w:val="0075671C"/>
    <w:rsid w:val="00760205"/>
    <w:rsid w:val="0076220F"/>
    <w:rsid w:val="00776FA1"/>
    <w:rsid w:val="007853AC"/>
    <w:rsid w:val="00785415"/>
    <w:rsid w:val="007911F3"/>
    <w:rsid w:val="007916AB"/>
    <w:rsid w:val="00792E7C"/>
    <w:rsid w:val="00795F67"/>
    <w:rsid w:val="007971AC"/>
    <w:rsid w:val="007A08D2"/>
    <w:rsid w:val="007A3D74"/>
    <w:rsid w:val="007A3EA7"/>
    <w:rsid w:val="007A4467"/>
    <w:rsid w:val="007A46AA"/>
    <w:rsid w:val="007A76C0"/>
    <w:rsid w:val="007B03A4"/>
    <w:rsid w:val="007B5881"/>
    <w:rsid w:val="007B6C67"/>
    <w:rsid w:val="007B75FB"/>
    <w:rsid w:val="007C4349"/>
    <w:rsid w:val="007C740C"/>
    <w:rsid w:val="007C788E"/>
    <w:rsid w:val="007D057A"/>
    <w:rsid w:val="007D2D4D"/>
    <w:rsid w:val="007D35EE"/>
    <w:rsid w:val="007D46CF"/>
    <w:rsid w:val="007D4D4B"/>
    <w:rsid w:val="007D53F6"/>
    <w:rsid w:val="007E2143"/>
    <w:rsid w:val="007E6ACA"/>
    <w:rsid w:val="007F0DEB"/>
    <w:rsid w:val="007F1128"/>
    <w:rsid w:val="007F399B"/>
    <w:rsid w:val="007F4DED"/>
    <w:rsid w:val="007F57BB"/>
    <w:rsid w:val="007F7BD7"/>
    <w:rsid w:val="00800CEB"/>
    <w:rsid w:val="00803AEA"/>
    <w:rsid w:val="008051E4"/>
    <w:rsid w:val="0080523C"/>
    <w:rsid w:val="0080596C"/>
    <w:rsid w:val="008078E2"/>
    <w:rsid w:val="00813337"/>
    <w:rsid w:val="008153B1"/>
    <w:rsid w:val="008201B0"/>
    <w:rsid w:val="00820C3D"/>
    <w:rsid w:val="00821467"/>
    <w:rsid w:val="00824805"/>
    <w:rsid w:val="00824922"/>
    <w:rsid w:val="00824C63"/>
    <w:rsid w:val="008269C5"/>
    <w:rsid w:val="00826A9F"/>
    <w:rsid w:val="00830A6F"/>
    <w:rsid w:val="00833F6E"/>
    <w:rsid w:val="00834726"/>
    <w:rsid w:val="00835AF5"/>
    <w:rsid w:val="00840C98"/>
    <w:rsid w:val="008415A5"/>
    <w:rsid w:val="008435F0"/>
    <w:rsid w:val="008455A2"/>
    <w:rsid w:val="008517CC"/>
    <w:rsid w:val="00853CF8"/>
    <w:rsid w:val="008605D9"/>
    <w:rsid w:val="00860E6D"/>
    <w:rsid w:val="00863CAA"/>
    <w:rsid w:val="008651D3"/>
    <w:rsid w:val="00871D88"/>
    <w:rsid w:val="008775D0"/>
    <w:rsid w:val="008776F4"/>
    <w:rsid w:val="0088005E"/>
    <w:rsid w:val="0088203A"/>
    <w:rsid w:val="0088231A"/>
    <w:rsid w:val="0088264A"/>
    <w:rsid w:val="008855E1"/>
    <w:rsid w:val="00890F4D"/>
    <w:rsid w:val="0089128D"/>
    <w:rsid w:val="00893624"/>
    <w:rsid w:val="008A2E88"/>
    <w:rsid w:val="008A3DE9"/>
    <w:rsid w:val="008A47B8"/>
    <w:rsid w:val="008A5210"/>
    <w:rsid w:val="008A7655"/>
    <w:rsid w:val="008A7ABD"/>
    <w:rsid w:val="008B123C"/>
    <w:rsid w:val="008B16A0"/>
    <w:rsid w:val="008B2064"/>
    <w:rsid w:val="008B2EB1"/>
    <w:rsid w:val="008B37E7"/>
    <w:rsid w:val="008B3C91"/>
    <w:rsid w:val="008B4DC6"/>
    <w:rsid w:val="008B55F4"/>
    <w:rsid w:val="008B5E1D"/>
    <w:rsid w:val="008B6338"/>
    <w:rsid w:val="008B74B7"/>
    <w:rsid w:val="008C0A0F"/>
    <w:rsid w:val="008C0A19"/>
    <w:rsid w:val="008C132A"/>
    <w:rsid w:val="008D096C"/>
    <w:rsid w:val="008D110B"/>
    <w:rsid w:val="008D168A"/>
    <w:rsid w:val="008D3BD0"/>
    <w:rsid w:val="008D4703"/>
    <w:rsid w:val="008D543C"/>
    <w:rsid w:val="008D61DE"/>
    <w:rsid w:val="008E0AEB"/>
    <w:rsid w:val="008E0C11"/>
    <w:rsid w:val="008E6000"/>
    <w:rsid w:val="008E602E"/>
    <w:rsid w:val="008E6140"/>
    <w:rsid w:val="008F30AA"/>
    <w:rsid w:val="008F3759"/>
    <w:rsid w:val="008F4878"/>
    <w:rsid w:val="008F5778"/>
    <w:rsid w:val="008F5B99"/>
    <w:rsid w:val="009035B7"/>
    <w:rsid w:val="00903A46"/>
    <w:rsid w:val="0090640C"/>
    <w:rsid w:val="009113CD"/>
    <w:rsid w:val="00913B64"/>
    <w:rsid w:val="00914885"/>
    <w:rsid w:val="009207F0"/>
    <w:rsid w:val="009217CB"/>
    <w:rsid w:val="00921D6E"/>
    <w:rsid w:val="00922FEE"/>
    <w:rsid w:val="00923BF0"/>
    <w:rsid w:val="00925C49"/>
    <w:rsid w:val="00925F51"/>
    <w:rsid w:val="00933E61"/>
    <w:rsid w:val="00934020"/>
    <w:rsid w:val="00935B11"/>
    <w:rsid w:val="009368B5"/>
    <w:rsid w:val="00941F9E"/>
    <w:rsid w:val="00945247"/>
    <w:rsid w:val="00956C40"/>
    <w:rsid w:val="00956E16"/>
    <w:rsid w:val="009570CB"/>
    <w:rsid w:val="009620AB"/>
    <w:rsid w:val="00965C36"/>
    <w:rsid w:val="009718FB"/>
    <w:rsid w:val="00972A6E"/>
    <w:rsid w:val="00975EFC"/>
    <w:rsid w:val="009761E3"/>
    <w:rsid w:val="0097791A"/>
    <w:rsid w:val="00981C60"/>
    <w:rsid w:val="00981EAD"/>
    <w:rsid w:val="009821B6"/>
    <w:rsid w:val="00985EED"/>
    <w:rsid w:val="00987953"/>
    <w:rsid w:val="00992F51"/>
    <w:rsid w:val="009A146E"/>
    <w:rsid w:val="009A5217"/>
    <w:rsid w:val="009A5C41"/>
    <w:rsid w:val="009A6AA0"/>
    <w:rsid w:val="009A7002"/>
    <w:rsid w:val="009A75F8"/>
    <w:rsid w:val="009B33D6"/>
    <w:rsid w:val="009B4228"/>
    <w:rsid w:val="009B46E4"/>
    <w:rsid w:val="009B52C9"/>
    <w:rsid w:val="009B6F0E"/>
    <w:rsid w:val="009C1741"/>
    <w:rsid w:val="009D3448"/>
    <w:rsid w:val="009D3BD1"/>
    <w:rsid w:val="009E09FC"/>
    <w:rsid w:val="009E0B6D"/>
    <w:rsid w:val="009E116A"/>
    <w:rsid w:val="009E3A6C"/>
    <w:rsid w:val="009E4461"/>
    <w:rsid w:val="009E6211"/>
    <w:rsid w:val="009E631B"/>
    <w:rsid w:val="009E7D23"/>
    <w:rsid w:val="009F1993"/>
    <w:rsid w:val="009F1E10"/>
    <w:rsid w:val="009F2377"/>
    <w:rsid w:val="00A00410"/>
    <w:rsid w:val="00A00C37"/>
    <w:rsid w:val="00A01B4D"/>
    <w:rsid w:val="00A06DFB"/>
    <w:rsid w:val="00A07501"/>
    <w:rsid w:val="00A1101A"/>
    <w:rsid w:val="00A173B0"/>
    <w:rsid w:val="00A20961"/>
    <w:rsid w:val="00A21430"/>
    <w:rsid w:val="00A21B06"/>
    <w:rsid w:val="00A22DB0"/>
    <w:rsid w:val="00A23D9E"/>
    <w:rsid w:val="00A27286"/>
    <w:rsid w:val="00A31B45"/>
    <w:rsid w:val="00A32C60"/>
    <w:rsid w:val="00A36221"/>
    <w:rsid w:val="00A37AB6"/>
    <w:rsid w:val="00A40AB0"/>
    <w:rsid w:val="00A46635"/>
    <w:rsid w:val="00A54111"/>
    <w:rsid w:val="00A5766A"/>
    <w:rsid w:val="00A61965"/>
    <w:rsid w:val="00A626E6"/>
    <w:rsid w:val="00A648C7"/>
    <w:rsid w:val="00A65628"/>
    <w:rsid w:val="00A67292"/>
    <w:rsid w:val="00A672DC"/>
    <w:rsid w:val="00A71E6A"/>
    <w:rsid w:val="00A77F12"/>
    <w:rsid w:val="00A81759"/>
    <w:rsid w:val="00A81F32"/>
    <w:rsid w:val="00A8219B"/>
    <w:rsid w:val="00A83816"/>
    <w:rsid w:val="00A87964"/>
    <w:rsid w:val="00A924F9"/>
    <w:rsid w:val="00AA0137"/>
    <w:rsid w:val="00AA29C7"/>
    <w:rsid w:val="00AA32B6"/>
    <w:rsid w:val="00AA645F"/>
    <w:rsid w:val="00AA7316"/>
    <w:rsid w:val="00AB26E3"/>
    <w:rsid w:val="00AB3A65"/>
    <w:rsid w:val="00AB45F2"/>
    <w:rsid w:val="00AC1CAA"/>
    <w:rsid w:val="00AC23C4"/>
    <w:rsid w:val="00AC5724"/>
    <w:rsid w:val="00AC577A"/>
    <w:rsid w:val="00AC6065"/>
    <w:rsid w:val="00AC6BEC"/>
    <w:rsid w:val="00AC7808"/>
    <w:rsid w:val="00AC7868"/>
    <w:rsid w:val="00AD2911"/>
    <w:rsid w:val="00AD2E0A"/>
    <w:rsid w:val="00AD3307"/>
    <w:rsid w:val="00AD3F9C"/>
    <w:rsid w:val="00AD4EA5"/>
    <w:rsid w:val="00AD5342"/>
    <w:rsid w:val="00AD7FE3"/>
    <w:rsid w:val="00AE6EC0"/>
    <w:rsid w:val="00AF06DF"/>
    <w:rsid w:val="00AF1A2A"/>
    <w:rsid w:val="00B01050"/>
    <w:rsid w:val="00B1243B"/>
    <w:rsid w:val="00B13609"/>
    <w:rsid w:val="00B1501A"/>
    <w:rsid w:val="00B21DD6"/>
    <w:rsid w:val="00B255E7"/>
    <w:rsid w:val="00B26B1C"/>
    <w:rsid w:val="00B326CF"/>
    <w:rsid w:val="00B337A8"/>
    <w:rsid w:val="00B34BA6"/>
    <w:rsid w:val="00B357A4"/>
    <w:rsid w:val="00B35E9E"/>
    <w:rsid w:val="00B40318"/>
    <w:rsid w:val="00B44C07"/>
    <w:rsid w:val="00B46466"/>
    <w:rsid w:val="00B46958"/>
    <w:rsid w:val="00B520FB"/>
    <w:rsid w:val="00B529DA"/>
    <w:rsid w:val="00B52ADA"/>
    <w:rsid w:val="00B54A71"/>
    <w:rsid w:val="00B56A3D"/>
    <w:rsid w:val="00B60F43"/>
    <w:rsid w:val="00B71848"/>
    <w:rsid w:val="00B71C0A"/>
    <w:rsid w:val="00B729AF"/>
    <w:rsid w:val="00B7374A"/>
    <w:rsid w:val="00B776AB"/>
    <w:rsid w:val="00B802E8"/>
    <w:rsid w:val="00B809B8"/>
    <w:rsid w:val="00B82121"/>
    <w:rsid w:val="00B82994"/>
    <w:rsid w:val="00B85103"/>
    <w:rsid w:val="00B85F45"/>
    <w:rsid w:val="00B93024"/>
    <w:rsid w:val="00B9565A"/>
    <w:rsid w:val="00B96424"/>
    <w:rsid w:val="00BA0FC0"/>
    <w:rsid w:val="00BA2A20"/>
    <w:rsid w:val="00BA3CCB"/>
    <w:rsid w:val="00BA41C3"/>
    <w:rsid w:val="00BA5271"/>
    <w:rsid w:val="00BA6B8A"/>
    <w:rsid w:val="00BB39FD"/>
    <w:rsid w:val="00BC3AC7"/>
    <w:rsid w:val="00BC5578"/>
    <w:rsid w:val="00BC571F"/>
    <w:rsid w:val="00BC5840"/>
    <w:rsid w:val="00BC5BBF"/>
    <w:rsid w:val="00BC66BD"/>
    <w:rsid w:val="00BC671F"/>
    <w:rsid w:val="00BD0C36"/>
    <w:rsid w:val="00BD43CC"/>
    <w:rsid w:val="00BD4731"/>
    <w:rsid w:val="00BD4B34"/>
    <w:rsid w:val="00BD5734"/>
    <w:rsid w:val="00BD7B5F"/>
    <w:rsid w:val="00BE0FBE"/>
    <w:rsid w:val="00BE27D5"/>
    <w:rsid w:val="00BE392A"/>
    <w:rsid w:val="00BF1EF0"/>
    <w:rsid w:val="00BF6A87"/>
    <w:rsid w:val="00BF6AEA"/>
    <w:rsid w:val="00C04E69"/>
    <w:rsid w:val="00C05637"/>
    <w:rsid w:val="00C05E02"/>
    <w:rsid w:val="00C072FC"/>
    <w:rsid w:val="00C11DC5"/>
    <w:rsid w:val="00C123D2"/>
    <w:rsid w:val="00C12D1C"/>
    <w:rsid w:val="00C13280"/>
    <w:rsid w:val="00C13285"/>
    <w:rsid w:val="00C20BFF"/>
    <w:rsid w:val="00C267EA"/>
    <w:rsid w:val="00C26CBB"/>
    <w:rsid w:val="00C27F88"/>
    <w:rsid w:val="00C32AA2"/>
    <w:rsid w:val="00C340AE"/>
    <w:rsid w:val="00C37E2D"/>
    <w:rsid w:val="00C413E9"/>
    <w:rsid w:val="00C42D30"/>
    <w:rsid w:val="00C43E95"/>
    <w:rsid w:val="00C52410"/>
    <w:rsid w:val="00C53156"/>
    <w:rsid w:val="00C5580F"/>
    <w:rsid w:val="00C55F9E"/>
    <w:rsid w:val="00C603C8"/>
    <w:rsid w:val="00C608FC"/>
    <w:rsid w:val="00C60C54"/>
    <w:rsid w:val="00C60E7E"/>
    <w:rsid w:val="00C63741"/>
    <w:rsid w:val="00C65D46"/>
    <w:rsid w:val="00C668BF"/>
    <w:rsid w:val="00C67C73"/>
    <w:rsid w:val="00C76C60"/>
    <w:rsid w:val="00C822C0"/>
    <w:rsid w:val="00C828AB"/>
    <w:rsid w:val="00C853E9"/>
    <w:rsid w:val="00C8590C"/>
    <w:rsid w:val="00C85BE4"/>
    <w:rsid w:val="00C87466"/>
    <w:rsid w:val="00C90BDB"/>
    <w:rsid w:val="00C92AA8"/>
    <w:rsid w:val="00C939FB"/>
    <w:rsid w:val="00C97E33"/>
    <w:rsid w:val="00CA0914"/>
    <w:rsid w:val="00CA1462"/>
    <w:rsid w:val="00CA424D"/>
    <w:rsid w:val="00CA6438"/>
    <w:rsid w:val="00CB0BC1"/>
    <w:rsid w:val="00CB1FC6"/>
    <w:rsid w:val="00CB3184"/>
    <w:rsid w:val="00CB58F4"/>
    <w:rsid w:val="00CC0639"/>
    <w:rsid w:val="00CC0C65"/>
    <w:rsid w:val="00CC1330"/>
    <w:rsid w:val="00CC1F35"/>
    <w:rsid w:val="00CC4845"/>
    <w:rsid w:val="00CC5D8E"/>
    <w:rsid w:val="00CC5FF6"/>
    <w:rsid w:val="00CC624C"/>
    <w:rsid w:val="00CC7CC7"/>
    <w:rsid w:val="00CD05F5"/>
    <w:rsid w:val="00CD4384"/>
    <w:rsid w:val="00CD4440"/>
    <w:rsid w:val="00CD7264"/>
    <w:rsid w:val="00CE0DDC"/>
    <w:rsid w:val="00CE15A6"/>
    <w:rsid w:val="00CE186E"/>
    <w:rsid w:val="00CE22AC"/>
    <w:rsid w:val="00CE3A9D"/>
    <w:rsid w:val="00CE64DF"/>
    <w:rsid w:val="00CF489F"/>
    <w:rsid w:val="00CF51B6"/>
    <w:rsid w:val="00CF5F3E"/>
    <w:rsid w:val="00CF64C3"/>
    <w:rsid w:val="00CF66E7"/>
    <w:rsid w:val="00CF7599"/>
    <w:rsid w:val="00D02ABD"/>
    <w:rsid w:val="00D0358D"/>
    <w:rsid w:val="00D0720F"/>
    <w:rsid w:val="00D137EA"/>
    <w:rsid w:val="00D13C9A"/>
    <w:rsid w:val="00D16024"/>
    <w:rsid w:val="00D1661A"/>
    <w:rsid w:val="00D17296"/>
    <w:rsid w:val="00D21207"/>
    <w:rsid w:val="00D21DB8"/>
    <w:rsid w:val="00D2574D"/>
    <w:rsid w:val="00D323DD"/>
    <w:rsid w:val="00D32BDF"/>
    <w:rsid w:val="00D34B44"/>
    <w:rsid w:val="00D353F2"/>
    <w:rsid w:val="00D35BFC"/>
    <w:rsid w:val="00D36109"/>
    <w:rsid w:val="00D43422"/>
    <w:rsid w:val="00D4701A"/>
    <w:rsid w:val="00D470DF"/>
    <w:rsid w:val="00D47ECD"/>
    <w:rsid w:val="00D51FE3"/>
    <w:rsid w:val="00D52113"/>
    <w:rsid w:val="00D52FFE"/>
    <w:rsid w:val="00D53476"/>
    <w:rsid w:val="00D556D2"/>
    <w:rsid w:val="00D55A7D"/>
    <w:rsid w:val="00D57422"/>
    <w:rsid w:val="00D57EB5"/>
    <w:rsid w:val="00D63DDA"/>
    <w:rsid w:val="00D64FA9"/>
    <w:rsid w:val="00D70476"/>
    <w:rsid w:val="00D72DEF"/>
    <w:rsid w:val="00D75299"/>
    <w:rsid w:val="00D76B2D"/>
    <w:rsid w:val="00D776DE"/>
    <w:rsid w:val="00D77DB4"/>
    <w:rsid w:val="00D81D6F"/>
    <w:rsid w:val="00D82E5A"/>
    <w:rsid w:val="00D837AD"/>
    <w:rsid w:val="00D840DF"/>
    <w:rsid w:val="00D84EC3"/>
    <w:rsid w:val="00D87309"/>
    <w:rsid w:val="00D9509A"/>
    <w:rsid w:val="00D95A18"/>
    <w:rsid w:val="00DB546F"/>
    <w:rsid w:val="00DB69C8"/>
    <w:rsid w:val="00DC00C8"/>
    <w:rsid w:val="00DC078F"/>
    <w:rsid w:val="00DC1AEC"/>
    <w:rsid w:val="00DC1FDD"/>
    <w:rsid w:val="00DC3440"/>
    <w:rsid w:val="00DD016D"/>
    <w:rsid w:val="00DD1239"/>
    <w:rsid w:val="00DD14AC"/>
    <w:rsid w:val="00DD2C8D"/>
    <w:rsid w:val="00DD606E"/>
    <w:rsid w:val="00DE1BF0"/>
    <w:rsid w:val="00DE443F"/>
    <w:rsid w:val="00DE6B21"/>
    <w:rsid w:val="00DE756B"/>
    <w:rsid w:val="00DE765D"/>
    <w:rsid w:val="00DE7E72"/>
    <w:rsid w:val="00DF0961"/>
    <w:rsid w:val="00DF35F8"/>
    <w:rsid w:val="00DF380B"/>
    <w:rsid w:val="00DF442C"/>
    <w:rsid w:val="00DF5247"/>
    <w:rsid w:val="00E0128A"/>
    <w:rsid w:val="00E04B2B"/>
    <w:rsid w:val="00E109F3"/>
    <w:rsid w:val="00E113D3"/>
    <w:rsid w:val="00E13BD2"/>
    <w:rsid w:val="00E13CC1"/>
    <w:rsid w:val="00E1486C"/>
    <w:rsid w:val="00E15213"/>
    <w:rsid w:val="00E159EE"/>
    <w:rsid w:val="00E16A44"/>
    <w:rsid w:val="00E21A2F"/>
    <w:rsid w:val="00E21BF7"/>
    <w:rsid w:val="00E22F63"/>
    <w:rsid w:val="00E25EDE"/>
    <w:rsid w:val="00E26532"/>
    <w:rsid w:val="00E2766C"/>
    <w:rsid w:val="00E31B76"/>
    <w:rsid w:val="00E33FDD"/>
    <w:rsid w:val="00E35DB0"/>
    <w:rsid w:val="00E36A85"/>
    <w:rsid w:val="00E411A7"/>
    <w:rsid w:val="00E424CE"/>
    <w:rsid w:val="00E4255A"/>
    <w:rsid w:val="00E42F3B"/>
    <w:rsid w:val="00E43646"/>
    <w:rsid w:val="00E44933"/>
    <w:rsid w:val="00E54A53"/>
    <w:rsid w:val="00E55CB1"/>
    <w:rsid w:val="00E57355"/>
    <w:rsid w:val="00E57878"/>
    <w:rsid w:val="00E57D4F"/>
    <w:rsid w:val="00E61C97"/>
    <w:rsid w:val="00E6528D"/>
    <w:rsid w:val="00E65F57"/>
    <w:rsid w:val="00E663FB"/>
    <w:rsid w:val="00E70BE7"/>
    <w:rsid w:val="00E710E5"/>
    <w:rsid w:val="00E82DA3"/>
    <w:rsid w:val="00E83060"/>
    <w:rsid w:val="00E83922"/>
    <w:rsid w:val="00E879A8"/>
    <w:rsid w:val="00E92528"/>
    <w:rsid w:val="00E93227"/>
    <w:rsid w:val="00E94420"/>
    <w:rsid w:val="00E94F15"/>
    <w:rsid w:val="00E95A0C"/>
    <w:rsid w:val="00E95EA7"/>
    <w:rsid w:val="00E96234"/>
    <w:rsid w:val="00EA0EA9"/>
    <w:rsid w:val="00EA189B"/>
    <w:rsid w:val="00EB0A57"/>
    <w:rsid w:val="00EB15F5"/>
    <w:rsid w:val="00EC0EE7"/>
    <w:rsid w:val="00EC30D8"/>
    <w:rsid w:val="00EC5264"/>
    <w:rsid w:val="00ED2A3C"/>
    <w:rsid w:val="00ED4CD9"/>
    <w:rsid w:val="00ED5B10"/>
    <w:rsid w:val="00ED5CF1"/>
    <w:rsid w:val="00ED616B"/>
    <w:rsid w:val="00EE35C3"/>
    <w:rsid w:val="00EE7428"/>
    <w:rsid w:val="00EF6B47"/>
    <w:rsid w:val="00F04128"/>
    <w:rsid w:val="00F126BD"/>
    <w:rsid w:val="00F13797"/>
    <w:rsid w:val="00F13F90"/>
    <w:rsid w:val="00F250D3"/>
    <w:rsid w:val="00F25B95"/>
    <w:rsid w:val="00F266D9"/>
    <w:rsid w:val="00F27C23"/>
    <w:rsid w:val="00F316E9"/>
    <w:rsid w:val="00F42FFF"/>
    <w:rsid w:val="00F50074"/>
    <w:rsid w:val="00F519E9"/>
    <w:rsid w:val="00F52FA5"/>
    <w:rsid w:val="00F55AC1"/>
    <w:rsid w:val="00F56953"/>
    <w:rsid w:val="00F57F3F"/>
    <w:rsid w:val="00F60B52"/>
    <w:rsid w:val="00F645A6"/>
    <w:rsid w:val="00F66CBA"/>
    <w:rsid w:val="00F67195"/>
    <w:rsid w:val="00F6741E"/>
    <w:rsid w:val="00F702C3"/>
    <w:rsid w:val="00F71CA8"/>
    <w:rsid w:val="00F72869"/>
    <w:rsid w:val="00F76DD9"/>
    <w:rsid w:val="00F82B1F"/>
    <w:rsid w:val="00F90C6B"/>
    <w:rsid w:val="00F97367"/>
    <w:rsid w:val="00F97CFE"/>
    <w:rsid w:val="00FA026B"/>
    <w:rsid w:val="00FA0C9B"/>
    <w:rsid w:val="00FA0D09"/>
    <w:rsid w:val="00FA0D2B"/>
    <w:rsid w:val="00FA2978"/>
    <w:rsid w:val="00FA35EF"/>
    <w:rsid w:val="00FA3CC3"/>
    <w:rsid w:val="00FB074D"/>
    <w:rsid w:val="00FB15E1"/>
    <w:rsid w:val="00FB23A2"/>
    <w:rsid w:val="00FB4BDB"/>
    <w:rsid w:val="00FB51E8"/>
    <w:rsid w:val="00FB5378"/>
    <w:rsid w:val="00FB6412"/>
    <w:rsid w:val="00FB702D"/>
    <w:rsid w:val="00FB772A"/>
    <w:rsid w:val="00FC23B9"/>
    <w:rsid w:val="00FC332E"/>
    <w:rsid w:val="00FC3D68"/>
    <w:rsid w:val="00FC5F49"/>
    <w:rsid w:val="00FC7AA5"/>
    <w:rsid w:val="00FD0911"/>
    <w:rsid w:val="00FD1C0A"/>
    <w:rsid w:val="00FE178F"/>
    <w:rsid w:val="00FE1D0F"/>
    <w:rsid w:val="00FE415E"/>
    <w:rsid w:val="00FE4664"/>
    <w:rsid w:val="00FE4703"/>
    <w:rsid w:val="00FE7ABC"/>
    <w:rsid w:val="00FF0A93"/>
    <w:rsid w:val="00FF1D8E"/>
    <w:rsid w:val="00FF3DD8"/>
    <w:rsid w:val="00FF7312"/>
    <w:rsid w:val="00FF77A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2898-CA5F-4423-8DDD-20106A01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Windows korisnik</cp:lastModifiedBy>
  <cp:revision>5</cp:revision>
  <cp:lastPrinted>2018-01-26T07:57:00Z</cp:lastPrinted>
  <dcterms:created xsi:type="dcterms:W3CDTF">2023-01-31T00:57:00Z</dcterms:created>
  <dcterms:modified xsi:type="dcterms:W3CDTF">2023-01-31T06:37:00Z</dcterms:modified>
</cp:coreProperties>
</file>