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b351b8f0fb74e8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12575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IVANA MAŽURANIĆA, OBROVAC SINJSKI, HAN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959.370,16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1.278.465,85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911.692,37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1.214.997,37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47.677,79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63.468,48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133,1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18.039,45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346.453,69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18.039,45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346.453,69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1920,5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282.985,21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Prihodi poslovanja za razdoblje od 1.1.do30.6.2025. godine iznose 1.278.465,85 €. Rashodi poslovanja za isto obračunsko razdoblje iznose 1.214.997,37€.
Iskazan je Višak prihoda poslovanja u iznosu 63.468,48 €.
U istom obračunskom razdoblju škola nije imala prihode od prodaje nefinancijske imovine, ali je ostvarila rashode za nabavu nefinancijske imovine u iznosu 346.453,69€  te je iskazan manjak prihoda od nefinancijske imovine u iznosu 346.453,96€. 
Ukupan manjak prihoda obračunskog razdoblja iznosi 282.985,48€.
Preneseni manjak prihoda iznosi 451,43€, te je manjak prihoda i primitaka za pokriće u sljedećem razdoblju iznosi 283.436,64€.
</w:t>
      </w:r>
    </w:p>
    <w:p>
      <w:r>
        <w:br/>
      </w:r>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126.610,33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Osnovna škola Ivana Mažuranića, Obrovac Sinjski sudjeluje:
1. u Eksperimentalnom programu  " Osnovna Škola kao cjelodnevna škola". Ulaskom u program povećane su i druge aktivnosti u okviru navedenog programa ( prilagodba i uređenje objekata, opremanje škole, nabava vozila itd). Sukladno sklopljenim ugovorima MZOM je preuzelo obvezu plaćanja nastalih obveza. Škola obveze prema dobavljačima zatvara po obavijesti koju škola primi od strane MZOM. Na datum 30.6.2025. iskazan je veći iznos dospjelih obveza ( do 60 dana). 2. kao jedina (ogledna) osnovna škola u Splitsko-dalmatinskoj županiji u pilot projektu uvođenja Riznice, škola zahtjeve za plaćanja obveza prema dobavljačima šalje županiji, koja zahtjeve obrađuje i plaća. Ulaskom u Eksperimentalni program došlo je do povećanja predanih zahtjeva (najam opreme, prehrana učenika, prijevoz školskih obroka itd) koje škola zatvara po obavijesti županije. Zbog svega navedenog na poziciji V007 iskazan je iznos 126.610,33 nepodmirenih obveza.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dd23f9eb27b64899" /></Relationships>
</file>