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41" w:rsidRDefault="00727A41" w:rsidP="00727A41">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727A41" w:rsidRDefault="00727A41" w:rsidP="00727A41">
      <w:pPr>
        <w:jc w:val="both"/>
      </w:pPr>
    </w:p>
    <w:p w:rsidR="00727A41" w:rsidRDefault="00727A41" w:rsidP="00727A41">
      <w:pPr>
        <w:jc w:val="both"/>
      </w:pPr>
    </w:p>
    <w:p w:rsidR="00727A41" w:rsidRDefault="00727A41" w:rsidP="00727A41">
      <w:pPr>
        <w:jc w:val="both"/>
      </w:pPr>
    </w:p>
    <w:p w:rsidR="00727A41" w:rsidRDefault="00727A41" w:rsidP="00727A41">
      <w:pPr>
        <w:jc w:val="both"/>
      </w:pPr>
    </w:p>
    <w:p w:rsidR="00727A41" w:rsidRDefault="00727A41" w:rsidP="00727A41">
      <w:pPr>
        <w:jc w:val="both"/>
      </w:pPr>
      <w:r>
        <w:t>REPUBLIKA HRVATSKA</w:t>
      </w:r>
    </w:p>
    <w:p w:rsidR="00727A41" w:rsidRDefault="00727A41" w:rsidP="00727A41">
      <w:pPr>
        <w:jc w:val="both"/>
      </w:pPr>
      <w:r>
        <w:t>SPLITSKO-DALMATINSKA ŽUPANIJA</w:t>
      </w:r>
    </w:p>
    <w:p w:rsidR="00727A41" w:rsidRDefault="00727A41" w:rsidP="00727A41">
      <w:pPr>
        <w:jc w:val="both"/>
      </w:pPr>
      <w:r>
        <w:t>OSNOVNA ŠKOLA IVANA MAŽURANIĆA</w:t>
      </w:r>
    </w:p>
    <w:p w:rsidR="00727A41" w:rsidRDefault="00727A41" w:rsidP="00727A41">
      <w:pPr>
        <w:jc w:val="both"/>
      </w:pPr>
      <w:r>
        <w:t>Obrovac Sinjski 242/C</w:t>
      </w:r>
    </w:p>
    <w:p w:rsidR="00727A41" w:rsidRDefault="00727A41" w:rsidP="00727A41">
      <w:pPr>
        <w:jc w:val="both"/>
      </w:pPr>
      <w:r>
        <w:t>21241 Obrovac Sinjski</w:t>
      </w:r>
    </w:p>
    <w:p w:rsidR="00727A41" w:rsidRDefault="00727A41" w:rsidP="00727A41">
      <w:r>
        <w:t>OIB: 67272246049</w:t>
      </w:r>
    </w:p>
    <w:p w:rsidR="00727A41" w:rsidRDefault="00727A41" w:rsidP="00727A41">
      <w:r>
        <w:t>KLASA: 112-01/26-03/06</w:t>
      </w:r>
    </w:p>
    <w:p w:rsidR="00727A41" w:rsidRDefault="00727A41" w:rsidP="00727A41">
      <w:r>
        <w:t>URBROJ: 2175-16-4-01-26-01</w:t>
      </w:r>
    </w:p>
    <w:p w:rsidR="00727A41" w:rsidRDefault="00727A41" w:rsidP="00727A41">
      <w:pPr>
        <w:rPr>
          <w:color w:val="000000" w:themeColor="text1"/>
          <w:sz w:val="22"/>
          <w:szCs w:val="22"/>
        </w:rPr>
      </w:pPr>
      <w:r>
        <w:rPr>
          <w:color w:val="000000" w:themeColor="text1"/>
          <w:sz w:val="22"/>
          <w:szCs w:val="22"/>
        </w:rPr>
        <w:t>U  Obrovcu Sinjskom 7.  siječnja 2026.</w:t>
      </w:r>
    </w:p>
    <w:p w:rsidR="00727A41" w:rsidRDefault="00727A41" w:rsidP="00727A41">
      <w:pPr>
        <w:jc w:val="both"/>
        <w:rPr>
          <w:sz w:val="22"/>
          <w:szCs w:val="22"/>
        </w:rPr>
      </w:pPr>
      <w:r>
        <w:rPr>
          <w:sz w:val="22"/>
          <w:szCs w:val="22"/>
        </w:rPr>
        <w:t xml:space="preserve">                       </w:t>
      </w:r>
    </w:p>
    <w:p w:rsidR="00727A41" w:rsidRDefault="00727A41" w:rsidP="00727A41">
      <w:pPr>
        <w:jc w:val="both"/>
        <w:rPr>
          <w:sz w:val="22"/>
          <w:szCs w:val="22"/>
        </w:rPr>
      </w:pPr>
      <w:r>
        <w:rPr>
          <w:sz w:val="22"/>
          <w:szCs w:val="22"/>
        </w:rPr>
        <w:t>Na temelju članka 10. Pravilnika  postupku zapošljavanja te procjeni i vrednovanju kandidata za zapošljavanje u Osnovnoj školi Ivana Mažuranića, Obrovac Sinjski, a vezano uz raspisani natječaj  od 30. prosinca 2025. za zasnivanje radnog odnosa na radnom mjestu</w:t>
      </w:r>
      <w:r>
        <w:rPr>
          <w:b/>
          <w:sz w:val="22"/>
          <w:szCs w:val="22"/>
        </w:rPr>
        <w:t xml:space="preserve"> Referent koji obavlja poslove računovodstvenog referenta, određeno nepuno radno vrijeme (20 sati tjedno)</w:t>
      </w:r>
      <w:r>
        <w:rPr>
          <w:sz w:val="22"/>
          <w:szCs w:val="22"/>
        </w:rPr>
        <w:t xml:space="preserve"> Povjerenstvo za procjenu i vrednovanje kandidata za zapošljavanje  objavljuje</w:t>
      </w:r>
    </w:p>
    <w:p w:rsidR="00727A41" w:rsidRDefault="00727A41" w:rsidP="00727A41">
      <w:pPr>
        <w:rPr>
          <w:b/>
          <w:sz w:val="22"/>
          <w:szCs w:val="22"/>
        </w:rPr>
      </w:pPr>
    </w:p>
    <w:p w:rsidR="00727A41" w:rsidRDefault="00727A41" w:rsidP="00727A41">
      <w:pPr>
        <w:jc w:val="center"/>
        <w:rPr>
          <w:b/>
          <w:sz w:val="22"/>
          <w:szCs w:val="22"/>
        </w:rPr>
      </w:pPr>
      <w:r>
        <w:rPr>
          <w:b/>
          <w:sz w:val="22"/>
          <w:szCs w:val="22"/>
        </w:rPr>
        <w:t>NAČIN PROCJENE ODNOSNO TESTIRANJA KANDIDATA TE PRAVNE I DRUGE IZVORE ZA PRIPREMU KANDIDATA</w:t>
      </w:r>
    </w:p>
    <w:p w:rsidR="00727A41" w:rsidRDefault="00727A41" w:rsidP="00727A41">
      <w:pPr>
        <w:jc w:val="center"/>
        <w:rPr>
          <w:b/>
          <w:sz w:val="22"/>
          <w:szCs w:val="22"/>
        </w:rPr>
      </w:pPr>
    </w:p>
    <w:p w:rsidR="00727A41" w:rsidRDefault="00727A41" w:rsidP="00727A41">
      <w:pPr>
        <w:jc w:val="both"/>
        <w:rPr>
          <w:b/>
          <w:u w:val="single"/>
        </w:rPr>
      </w:pPr>
      <w:r>
        <w:rPr>
          <w:sz w:val="22"/>
          <w:szCs w:val="22"/>
        </w:rP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 kandidata.</w:t>
      </w:r>
    </w:p>
    <w:p w:rsidR="00727A41" w:rsidRDefault="00727A41" w:rsidP="00727A41">
      <w:pPr>
        <w:jc w:val="both"/>
        <w:rPr>
          <w:sz w:val="22"/>
          <w:szCs w:val="22"/>
        </w:rPr>
      </w:pPr>
      <w:r>
        <w:rPr>
          <w:sz w:val="22"/>
          <w:szCs w:val="22"/>
        </w:rP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727A41" w:rsidRDefault="00727A41" w:rsidP="00727A41">
      <w:pPr>
        <w:jc w:val="both"/>
        <w:rPr>
          <w:sz w:val="22"/>
          <w:szCs w:val="22"/>
        </w:rPr>
      </w:pPr>
    </w:p>
    <w:p w:rsidR="00727A41" w:rsidRDefault="00727A41" w:rsidP="00727A41">
      <w:pPr>
        <w:jc w:val="both"/>
        <w:rPr>
          <w:color w:val="000000"/>
        </w:rPr>
      </w:pPr>
      <w:r>
        <w:rPr>
          <w:color w:val="000000"/>
        </w:rPr>
        <w:t>Sukladno odredbama Pravilnika</w:t>
      </w:r>
      <w:r>
        <w:t xml:space="preserve"> o postupku zapošljavanja te procjeni i vrednovanju kandidata za zapošljavanje </w:t>
      </w:r>
      <w:r>
        <w:rPr>
          <w:color w:val="000000"/>
        </w:rPr>
        <w:t xml:space="preserve">područja iz kojih se može obavljati procjena odnosno testiranje kandidata za  računovodstvenog referenta  su: </w:t>
      </w:r>
    </w:p>
    <w:p w:rsidR="00727A41" w:rsidRDefault="00727A41" w:rsidP="00727A41">
      <w:pPr>
        <w:pStyle w:val="Odlomakpopisa"/>
        <w:numPr>
          <w:ilvl w:val="0"/>
          <w:numId w:val="2"/>
        </w:numPr>
        <w:contextualSpacing/>
        <w:jc w:val="both"/>
        <w:rPr>
          <w:color w:val="000000"/>
        </w:rPr>
      </w:pPr>
      <w:r>
        <w:rPr>
          <w:color w:val="000000"/>
        </w:rPr>
        <w:t>psihološko testiranje kandidata</w:t>
      </w:r>
    </w:p>
    <w:p w:rsidR="00727A41" w:rsidRDefault="00727A41" w:rsidP="00727A41">
      <w:pPr>
        <w:pStyle w:val="Odlomakpopisa"/>
        <w:numPr>
          <w:ilvl w:val="0"/>
          <w:numId w:val="2"/>
        </w:numPr>
        <w:contextualSpacing/>
        <w:jc w:val="both"/>
        <w:rPr>
          <w:color w:val="000000"/>
        </w:rPr>
      </w:pPr>
      <w:r>
        <w:rPr>
          <w:color w:val="000000"/>
        </w:rPr>
        <w:t>poznavanje propisa koji se odnose na djelatnost osnovnog obrazovanja</w:t>
      </w:r>
    </w:p>
    <w:p w:rsidR="00727A41" w:rsidRDefault="00727A41" w:rsidP="00727A41">
      <w:pPr>
        <w:pStyle w:val="Odlomakpopisa"/>
        <w:numPr>
          <w:ilvl w:val="0"/>
          <w:numId w:val="2"/>
        </w:numPr>
        <w:contextualSpacing/>
        <w:jc w:val="both"/>
        <w:rPr>
          <w:color w:val="000000"/>
        </w:rPr>
      </w:pPr>
      <w:r>
        <w:rPr>
          <w:color w:val="000000"/>
        </w:rPr>
        <w:t>poznavanje rada na računalu</w:t>
      </w:r>
    </w:p>
    <w:p w:rsidR="00727A41" w:rsidRDefault="00727A41" w:rsidP="00727A41">
      <w:pPr>
        <w:jc w:val="both"/>
        <w:rPr>
          <w:sz w:val="22"/>
          <w:szCs w:val="22"/>
        </w:rPr>
      </w:pPr>
    </w:p>
    <w:p w:rsidR="00727A41" w:rsidRDefault="00727A41" w:rsidP="00727A41">
      <w:pPr>
        <w:jc w:val="both"/>
        <w:rPr>
          <w:sz w:val="22"/>
          <w:szCs w:val="22"/>
        </w:rPr>
      </w:pPr>
      <w:r>
        <w:rPr>
          <w:sz w:val="22"/>
          <w:szCs w:val="22"/>
        </w:rPr>
        <w:t>Pravni i drugi izvori  za pripremu kandidata za procjenu odnosno testiranje su:</w:t>
      </w:r>
    </w:p>
    <w:p w:rsidR="00727A41" w:rsidRDefault="00727A41" w:rsidP="00727A41">
      <w:pPr>
        <w:jc w:val="both"/>
        <w:rPr>
          <w:sz w:val="22"/>
          <w:szCs w:val="22"/>
        </w:rPr>
      </w:pPr>
    </w:p>
    <w:p w:rsidR="00727A41" w:rsidRDefault="00727A41" w:rsidP="00727A41">
      <w:pPr>
        <w:pStyle w:val="Naslov2"/>
        <w:shd w:val="clear" w:color="auto" w:fill="FFFFFF"/>
        <w:spacing w:before="0" w:after="0" w:line="288" w:lineRule="atLeast"/>
        <w:textAlignment w:val="baseline"/>
        <w:rPr>
          <w:rFonts w:ascii="Times New Roman" w:eastAsia="Times New Roman" w:hAnsi="Times New Roman"/>
          <w:b w:val="0"/>
          <w:color w:val="000000" w:themeColor="text1"/>
          <w:kern w:val="0"/>
          <w:sz w:val="22"/>
          <w:szCs w:val="22"/>
          <w:lang w:eastAsia="hr-HR" w:bidi="ar-SA"/>
        </w:rPr>
      </w:pPr>
      <w:r>
        <w:rPr>
          <w:rFonts w:ascii="Times New Roman" w:hAnsi="Times New Roman"/>
          <w:sz w:val="22"/>
          <w:szCs w:val="22"/>
        </w:rPr>
        <w:t xml:space="preserve">- </w:t>
      </w:r>
      <w:r>
        <w:rPr>
          <w:rFonts w:ascii="Times New Roman" w:eastAsia="Times New Roman" w:hAnsi="Times New Roman"/>
          <w:b w:val="0"/>
          <w:color w:val="000000" w:themeColor="text1"/>
          <w:kern w:val="0"/>
          <w:sz w:val="22"/>
          <w:szCs w:val="22"/>
          <w:lang w:eastAsia="hr-HR" w:bidi="ar-SA"/>
        </w:rPr>
        <w:t>Pravilnik o djelokrugu rada tajnika te administrativno-tehničkim i pomoćnim poslovima koji se obavljaju u osnovnoj školi</w:t>
      </w:r>
    </w:p>
    <w:p w:rsidR="00727A41" w:rsidRDefault="00727A41" w:rsidP="00727A41">
      <w:pPr>
        <w:pStyle w:val="Tijeloteksta"/>
      </w:pPr>
      <w:hyperlink r:id="rId6" w:history="1">
        <w:r>
          <w:rPr>
            <w:rStyle w:val="Hiperveza"/>
            <w:rFonts w:eastAsia="Microsoft YaHei"/>
          </w:rPr>
          <w:t>https://narodne-novine.nn.hr/clanci/sluzbeni/2014_03_40_713.html</w:t>
        </w:r>
      </w:hyperlink>
      <w:r>
        <w:t xml:space="preserve"> </w:t>
      </w:r>
    </w:p>
    <w:p w:rsidR="00727A41" w:rsidRDefault="00727A41" w:rsidP="00727A41">
      <w:pPr>
        <w:jc w:val="both"/>
        <w:rPr>
          <w:sz w:val="22"/>
          <w:szCs w:val="22"/>
        </w:rPr>
      </w:pPr>
      <w:r>
        <w:rPr>
          <w:sz w:val="22"/>
          <w:szCs w:val="22"/>
        </w:rPr>
        <w:t>- Pravilnik-o-ostvarivanju-i-korištenju-nenamjenskih-donacija-i-vlastitih-sredstava</w:t>
      </w:r>
    </w:p>
    <w:p w:rsidR="00727A41" w:rsidRDefault="00727A41" w:rsidP="00727A41">
      <w:pPr>
        <w:jc w:val="both"/>
        <w:rPr>
          <w:rStyle w:val="Hiperveza"/>
          <w:rFonts w:eastAsia="Microsoft YaHei"/>
          <w:color w:val="auto"/>
          <w:u w:val="none"/>
        </w:rPr>
      </w:pPr>
      <w:hyperlink r:id="rId7" w:history="1">
        <w:r>
          <w:rPr>
            <w:rStyle w:val="Hiperveza"/>
            <w:rFonts w:eastAsia="Microsoft YaHei"/>
            <w:sz w:val="22"/>
            <w:szCs w:val="22"/>
          </w:rPr>
          <w:t>http://osim.hr/wp-content/uploads/2024/01/Pravilnik-o-ostvarivanju-i-kori%C5%A1tenju-nenamjenskih-donacija-i-vlastitih-sredstava-usvojen-17.srpnja-2023..docx</w:t>
        </w:r>
      </w:hyperlink>
      <w:r>
        <w:rPr>
          <w:rStyle w:val="Hiperveza"/>
          <w:rFonts w:eastAsia="Microsoft YaHei"/>
          <w:sz w:val="22"/>
          <w:szCs w:val="22"/>
        </w:rPr>
        <w:t xml:space="preserve"> </w:t>
      </w:r>
    </w:p>
    <w:p w:rsidR="00727A41" w:rsidRDefault="00727A41" w:rsidP="00727A41">
      <w:pPr>
        <w:pStyle w:val="Naslov2"/>
        <w:shd w:val="clear" w:color="auto" w:fill="FFFFFF"/>
        <w:spacing w:before="0" w:after="0" w:line="288" w:lineRule="atLeast"/>
        <w:textAlignment w:val="baseline"/>
        <w:rPr>
          <w:rFonts w:ascii="Times New Roman" w:hAnsi="Times New Roman"/>
          <w:b w:val="0"/>
        </w:rPr>
      </w:pPr>
      <w:r>
        <w:rPr>
          <w:rFonts w:ascii="Times New Roman" w:hAnsi="Times New Roman"/>
          <w:b w:val="0"/>
          <w:sz w:val="22"/>
          <w:szCs w:val="22"/>
        </w:rPr>
        <w:t>- Procedura blagajničkog poslovanja</w:t>
      </w:r>
    </w:p>
    <w:p w:rsidR="00727A41" w:rsidRDefault="00727A41" w:rsidP="00727A41">
      <w:pPr>
        <w:jc w:val="both"/>
        <w:rPr>
          <w:rStyle w:val="Hiperveza"/>
          <w:rFonts w:eastAsia="Microsoft YaHei"/>
        </w:rPr>
      </w:pPr>
      <w:r>
        <w:rPr>
          <w:rStyle w:val="Hiperveza"/>
          <w:rFonts w:eastAsia="Microsoft YaHei"/>
          <w:sz w:val="22"/>
          <w:szCs w:val="22"/>
        </w:rPr>
        <w:t>http://osim.hr/wp-content/uploads/2019/10/Procedura_blagajnickog_poslovanja-31.10.2019.docx</w:t>
      </w:r>
    </w:p>
    <w:p w:rsidR="00727A41" w:rsidRDefault="00727A41" w:rsidP="00727A41">
      <w:pPr>
        <w:jc w:val="both"/>
        <w:rPr>
          <w:rStyle w:val="Hiperveza"/>
          <w:rFonts w:eastAsia="Microsoft YaHei"/>
          <w:color w:val="000000" w:themeColor="text1"/>
          <w:sz w:val="22"/>
          <w:szCs w:val="22"/>
        </w:rPr>
      </w:pPr>
      <w:r>
        <w:rPr>
          <w:rStyle w:val="Hiperveza"/>
          <w:rFonts w:eastAsia="Microsoft YaHei"/>
          <w:color w:val="000000" w:themeColor="text1"/>
          <w:sz w:val="22"/>
          <w:szCs w:val="22"/>
        </w:rPr>
        <w:t>- Procedura izdavanja i obračunavanja putnih naloga</w:t>
      </w:r>
    </w:p>
    <w:p w:rsidR="00727A41" w:rsidRDefault="00727A41" w:rsidP="00727A41">
      <w:pPr>
        <w:jc w:val="both"/>
        <w:rPr>
          <w:rStyle w:val="Hiperveza"/>
          <w:rFonts w:eastAsia="Microsoft YaHei"/>
          <w:sz w:val="22"/>
          <w:szCs w:val="22"/>
        </w:rPr>
      </w:pPr>
      <w:r>
        <w:rPr>
          <w:rStyle w:val="Hiperveza"/>
          <w:rFonts w:eastAsia="Microsoft YaHei"/>
          <w:sz w:val="22"/>
          <w:szCs w:val="22"/>
        </w:rPr>
        <w:t>http://osim.hr/wp-content/uploads/2019/10/Procedura_izdavanja_i_obracunavanja_putnih_naloga__31.10.2019.-1.docx</w:t>
      </w:r>
    </w:p>
    <w:p w:rsidR="00727A41" w:rsidRDefault="00727A41" w:rsidP="00727A41">
      <w:pPr>
        <w:jc w:val="both"/>
        <w:rPr>
          <w:color w:val="000000"/>
        </w:rPr>
      </w:pPr>
    </w:p>
    <w:p w:rsidR="00727A41" w:rsidRDefault="00727A41" w:rsidP="00727A41">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727A41" w:rsidRDefault="00727A41" w:rsidP="00727A41">
      <w:pPr>
        <w:jc w:val="both"/>
      </w:pPr>
      <w:r>
        <w:t>Sadržaj i način testiranja kandidata objavit će se dana 7.1.2026. na mrežnoj stranici Škole.</w:t>
      </w:r>
    </w:p>
    <w:p w:rsidR="00727A41" w:rsidRDefault="00727A41" w:rsidP="00727A41">
      <w:pPr>
        <w:jc w:val="both"/>
        <w:rPr>
          <w:rStyle w:val="Hiperveza"/>
          <w:rFonts w:eastAsia="Microsoft YaHei"/>
          <w:sz w:val="22"/>
          <w:szCs w:val="22"/>
        </w:rPr>
      </w:pPr>
    </w:p>
    <w:p w:rsidR="00727A41" w:rsidRDefault="00727A41" w:rsidP="00727A41">
      <w:r>
        <w:rPr>
          <w:sz w:val="22"/>
          <w:szCs w:val="22"/>
        </w:rPr>
        <w:t>POVJERENSTVO ZA PROCJENU I VREDNOVANJE KANDIDATA ZA ZAPOŠLJAVANJE</w:t>
      </w:r>
    </w:p>
    <w:p w:rsidR="00395D89" w:rsidRDefault="00395D89">
      <w:bookmarkStart w:id="0" w:name="_GoBack"/>
      <w:bookmarkEnd w:id="0"/>
    </w:p>
    <w:sectPr w:rsidR="00395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E706A"/>
    <w:multiLevelType w:val="hybridMultilevel"/>
    <w:tmpl w:val="CADAA502"/>
    <w:lvl w:ilvl="0" w:tplc="041A0001">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41"/>
    <w:rsid w:val="00395D89"/>
    <w:rsid w:val="00727A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6841E-37C1-45D1-B1A0-88FC1F61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A41"/>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727A41"/>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727A41"/>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727A41"/>
    <w:rPr>
      <w:color w:val="0563C1" w:themeColor="hyperlink"/>
      <w:u w:val="single"/>
    </w:rPr>
  </w:style>
  <w:style w:type="paragraph" w:styleId="Tijeloteksta">
    <w:name w:val="Body Text"/>
    <w:basedOn w:val="Normal"/>
    <w:link w:val="TijelotekstaChar"/>
    <w:uiPriority w:val="99"/>
    <w:semiHidden/>
    <w:unhideWhenUsed/>
    <w:rsid w:val="00727A41"/>
    <w:pPr>
      <w:spacing w:after="120"/>
    </w:pPr>
  </w:style>
  <w:style w:type="character" w:customStyle="1" w:styleId="TijelotekstaChar">
    <w:name w:val="Tijelo teksta Char"/>
    <w:basedOn w:val="Zadanifontodlomka"/>
    <w:link w:val="Tijeloteksta"/>
    <w:uiPriority w:val="99"/>
    <w:semiHidden/>
    <w:rsid w:val="00727A41"/>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27A4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im.hr/wp-content/uploads/2024/01/Pravilnik-o-ostvarivanju-i-kori%C5%A1tenju-nenamjenskih-donacija-i-vlastitih-sredstava-usvojen-17.srpnja-202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14_03_40_713.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2026-01-07T09:35:00Z</dcterms:created>
  <dcterms:modified xsi:type="dcterms:W3CDTF">2026-01-07T09:37:00Z</dcterms:modified>
</cp:coreProperties>
</file>