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11800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11800" w:rsidRDefault="00B00EB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611800" w:rsidRDefault="00B00EB0">
            <w:pPr>
              <w:spacing w:after="0" w:line="240" w:lineRule="auto"/>
            </w:pPr>
            <w:r>
              <w:t>12575</w:t>
            </w:r>
          </w:p>
        </w:tc>
      </w:tr>
      <w:tr w:rsidR="00611800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11800" w:rsidRDefault="00B00EB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611800" w:rsidRDefault="00B00EB0">
            <w:pPr>
              <w:spacing w:after="0" w:line="240" w:lineRule="auto"/>
            </w:pPr>
            <w:proofErr w:type="spellStart"/>
            <w:r>
              <w:t>O.Š</w:t>
            </w:r>
            <w:proofErr w:type="spellEnd"/>
            <w:r>
              <w:t>. IVANA MAŽURANIĆA, OBROVAC SINJSKI, HAN</w:t>
            </w:r>
          </w:p>
        </w:tc>
      </w:tr>
      <w:tr w:rsidR="00611800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11800" w:rsidRDefault="00B00EB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611800" w:rsidRDefault="00B00EB0">
            <w:pPr>
              <w:spacing w:after="0" w:line="240" w:lineRule="auto"/>
            </w:pPr>
            <w:r>
              <w:t>31</w:t>
            </w:r>
          </w:p>
        </w:tc>
      </w:tr>
    </w:tbl>
    <w:p w:rsidR="00611800" w:rsidRDefault="00B00EB0" w:rsidP="00200344">
      <w:pPr>
        <w:tabs>
          <w:tab w:val="left" w:pos="993"/>
        </w:tabs>
      </w:pPr>
      <w:r>
        <w:br/>
      </w:r>
    </w:p>
    <w:p w:rsidR="00611800" w:rsidRDefault="00B00EB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611800" w:rsidRDefault="00B00EB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611800" w:rsidRDefault="00EF1F13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I - XII</w:t>
      </w:r>
      <w:r w:rsidR="00B00EB0">
        <w:rPr>
          <w:b/>
          <w:sz w:val="28"/>
        </w:rPr>
        <w:t xml:space="preserve"> 2025.</w:t>
      </w:r>
    </w:p>
    <w:p w:rsidR="00E20A03" w:rsidRDefault="00E20A03">
      <w:pPr>
        <w:spacing w:line="240" w:lineRule="auto"/>
        <w:jc w:val="center"/>
      </w:pPr>
    </w:p>
    <w:p w:rsidR="00EF1F13" w:rsidRDefault="00EF1F13" w:rsidP="00EF1F13">
      <w:pPr>
        <w:keepNext/>
        <w:spacing w:line="240" w:lineRule="auto"/>
        <w:jc w:val="center"/>
      </w:pPr>
      <w:r>
        <w:rPr>
          <w:b/>
          <w:sz w:val="28"/>
        </w:rPr>
        <w:t>Izvještaj Bilanca</w:t>
      </w:r>
    </w:p>
    <w:p w:rsidR="00EF1F13" w:rsidRDefault="008C3E76" w:rsidP="00EF1F13">
      <w:pPr>
        <w:keepNext/>
        <w:spacing w:line="240" w:lineRule="auto"/>
        <w:jc w:val="center"/>
      </w:pPr>
      <w:r>
        <w:rPr>
          <w:sz w:val="28"/>
        </w:rPr>
        <w:t>Bilješka 1</w:t>
      </w:r>
      <w:r w:rsidR="00EF1F13">
        <w:rPr>
          <w:sz w:val="28"/>
        </w:rPr>
        <w:t>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799"/>
        <w:gridCol w:w="1921"/>
        <w:gridCol w:w="700"/>
      </w:tblGrid>
      <w:tr w:rsidR="00EF1F13" w:rsidTr="00EF1F1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799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921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1F13" w:rsidTr="00EF1F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</w:t>
            </w:r>
            <w:r w:rsidR="008C3E76">
              <w:rPr>
                <w:sz w:val="18"/>
              </w:rPr>
              <w:t xml:space="preserve">A </w:t>
            </w:r>
            <w:r>
              <w:rPr>
                <w:sz w:val="18"/>
              </w:rPr>
              <w:t xml:space="preserve">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BOO2</w:t>
            </w:r>
          </w:p>
        </w:tc>
        <w:tc>
          <w:tcPr>
            <w:tcW w:w="1799" w:type="dxa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1.456.158,49</w:t>
            </w:r>
          </w:p>
        </w:tc>
        <w:tc>
          <w:tcPr>
            <w:tcW w:w="1921" w:type="dxa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1.814.641,43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124,6</w:t>
            </w:r>
          </w:p>
        </w:tc>
      </w:tr>
      <w:tr w:rsidR="00EF1F13" w:rsidTr="00EF1F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1F13" w:rsidRDefault="00EF1F13" w:rsidP="00EF1F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 IMOVINA (šifre 11+12+13+14+15+16+17)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799" w:type="dxa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205.114,50</w:t>
            </w:r>
          </w:p>
        </w:tc>
        <w:tc>
          <w:tcPr>
            <w:tcW w:w="1921" w:type="dxa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201.245,42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1F13" w:rsidRDefault="00E20A03" w:rsidP="00936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98,1</w:t>
            </w:r>
          </w:p>
        </w:tc>
      </w:tr>
      <w:tr w:rsidR="00EF1F13" w:rsidTr="00EF1F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B001</w:t>
            </w:r>
          </w:p>
        </w:tc>
        <w:tc>
          <w:tcPr>
            <w:tcW w:w="1799" w:type="dxa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</w:t>
            </w:r>
            <w:r w:rsidR="000F3396">
              <w:rPr>
                <w:b/>
                <w:sz w:val="18"/>
              </w:rPr>
              <w:t>.</w:t>
            </w:r>
            <w:r w:rsidR="00200344"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>61</w:t>
            </w:r>
            <w:r w:rsidR="0020034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272,99</w:t>
            </w:r>
          </w:p>
        </w:tc>
        <w:tc>
          <w:tcPr>
            <w:tcW w:w="1921" w:type="dxa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2.015.886,85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1F13" w:rsidRDefault="00E20A03" w:rsidP="00936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121,3</w:t>
            </w:r>
          </w:p>
        </w:tc>
      </w:tr>
      <w:tr w:rsidR="00EF1F13" w:rsidTr="00EF1F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1F13" w:rsidRDefault="008C3E76" w:rsidP="00936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1F13" w:rsidRDefault="008C3E76" w:rsidP="008C3E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</w:t>
            </w:r>
            <w:r w:rsidR="00EF1F13"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1F13" w:rsidRDefault="008C3E76" w:rsidP="00936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799" w:type="dxa"/>
            <w:tcMar>
              <w:top w:w="0" w:type="dxa"/>
              <w:bottom w:w="0" w:type="dxa"/>
            </w:tcMar>
            <w:vAlign w:val="center"/>
          </w:tcPr>
          <w:p w:rsidR="00EF1F13" w:rsidRDefault="008C3E76" w:rsidP="00936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205.565,93</w:t>
            </w:r>
          </w:p>
        </w:tc>
        <w:tc>
          <w:tcPr>
            <w:tcW w:w="1921" w:type="dxa"/>
            <w:tcMar>
              <w:top w:w="0" w:type="dxa"/>
              <w:bottom w:w="0" w:type="dxa"/>
            </w:tcMar>
            <w:vAlign w:val="center"/>
          </w:tcPr>
          <w:p w:rsidR="00EF1F13" w:rsidRDefault="008C3E76" w:rsidP="00936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218.293,79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1F13" w:rsidRDefault="000F3396" w:rsidP="00936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106,2</w:t>
            </w:r>
          </w:p>
        </w:tc>
      </w:tr>
      <w:tr w:rsidR="00EF1F13" w:rsidTr="00EF1F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1F13" w:rsidRDefault="008C3E76" w:rsidP="00936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1F13" w:rsidRDefault="000F3396" w:rsidP="000F339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</w:t>
            </w:r>
            <w:r w:rsidR="00200344">
              <w:rPr>
                <w:sz w:val="18"/>
              </w:rPr>
              <w:t>I</w:t>
            </w:r>
            <w:r>
              <w:rPr>
                <w:sz w:val="18"/>
              </w:rPr>
              <w:t xml:space="preserve"> IZVORI</w:t>
            </w:r>
            <w:r w:rsidR="00EF1F13">
              <w:rPr>
                <w:sz w:val="18"/>
              </w:rPr>
              <w:t xml:space="preserve"> (šifre </w:t>
            </w:r>
            <w:r>
              <w:rPr>
                <w:sz w:val="18"/>
              </w:rPr>
              <w:t>91+922+93+96+97</w:t>
            </w:r>
            <w:r w:rsidR="00EF1F13"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1F13" w:rsidRDefault="000F3396" w:rsidP="00936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799" w:type="dxa"/>
            <w:tcMar>
              <w:top w:w="0" w:type="dxa"/>
              <w:bottom w:w="0" w:type="dxa"/>
            </w:tcMar>
            <w:vAlign w:val="center"/>
          </w:tcPr>
          <w:p w:rsidR="00EF1F13" w:rsidRPr="00200344" w:rsidRDefault="000F3396" w:rsidP="00200344">
            <w:pPr>
              <w:keepNext/>
              <w:keepLines/>
              <w:spacing w:after="0" w:line="240" w:lineRule="auto"/>
              <w:jc w:val="right"/>
              <w:rPr>
                <w:sz w:val="18"/>
              </w:rPr>
            </w:pPr>
            <w:r w:rsidRPr="00200344">
              <w:rPr>
                <w:sz w:val="18"/>
              </w:rPr>
              <w:t>1.455.707,</w:t>
            </w:r>
            <w:r w:rsidR="00200344">
              <w:rPr>
                <w:sz w:val="18"/>
              </w:rPr>
              <w:t>06</w:t>
            </w:r>
          </w:p>
        </w:tc>
        <w:tc>
          <w:tcPr>
            <w:tcW w:w="1921" w:type="dxa"/>
            <w:tcMar>
              <w:top w:w="0" w:type="dxa"/>
              <w:bottom w:w="0" w:type="dxa"/>
            </w:tcMar>
            <w:vAlign w:val="center"/>
          </w:tcPr>
          <w:p w:rsidR="00EF1F13" w:rsidRPr="00200344" w:rsidRDefault="00200344" w:rsidP="0093600D">
            <w:pPr>
              <w:keepNext/>
              <w:keepLines/>
              <w:spacing w:after="0"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1.797.593,06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1F13" w:rsidRDefault="00E20A03" w:rsidP="00936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123,5</w:t>
            </w:r>
          </w:p>
        </w:tc>
      </w:tr>
      <w:tr w:rsidR="00EF1F13" w:rsidTr="00EF1F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1F13" w:rsidRDefault="00EF1F13" w:rsidP="009360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1F13" w:rsidRDefault="00200344" w:rsidP="0020034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OBVEZE I VLASTITI IZVORI (šifre 2+9</w:t>
            </w:r>
            <w:r w:rsidR="00EF1F13">
              <w:rPr>
                <w:b/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1F13" w:rsidRDefault="00200344" w:rsidP="009360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B003</w:t>
            </w:r>
          </w:p>
        </w:tc>
        <w:tc>
          <w:tcPr>
            <w:tcW w:w="1799" w:type="dxa"/>
            <w:tcMar>
              <w:top w:w="0" w:type="dxa"/>
              <w:bottom w:w="0" w:type="dxa"/>
            </w:tcMar>
            <w:vAlign w:val="center"/>
          </w:tcPr>
          <w:p w:rsidR="00EF1F13" w:rsidRDefault="00200344" w:rsidP="00936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1.661.272,99</w:t>
            </w:r>
          </w:p>
        </w:tc>
        <w:tc>
          <w:tcPr>
            <w:tcW w:w="1921" w:type="dxa"/>
            <w:tcMar>
              <w:top w:w="0" w:type="dxa"/>
              <w:bottom w:w="0" w:type="dxa"/>
            </w:tcMar>
            <w:vAlign w:val="center"/>
          </w:tcPr>
          <w:p w:rsidR="00EF1F13" w:rsidRDefault="00200344" w:rsidP="00936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2.015.886,85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1F13" w:rsidRDefault="00E20A03" w:rsidP="00936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121,3</w:t>
            </w:r>
          </w:p>
        </w:tc>
      </w:tr>
    </w:tbl>
    <w:p w:rsidR="00EF1F13" w:rsidRDefault="00EF1F13" w:rsidP="00EF1F13">
      <w:pPr>
        <w:spacing w:after="0"/>
      </w:pPr>
    </w:p>
    <w:p w:rsidR="00611800" w:rsidRDefault="00611800"/>
    <w:p w:rsidR="00200344" w:rsidRPr="00E27F60" w:rsidRDefault="00200344" w:rsidP="00C02AFE">
      <w:pPr>
        <w:spacing w:after="0"/>
        <w:rPr>
          <w:sz w:val="20"/>
          <w:szCs w:val="20"/>
        </w:rPr>
      </w:pPr>
      <w:r w:rsidRPr="00E27F60">
        <w:rPr>
          <w:sz w:val="20"/>
          <w:szCs w:val="20"/>
        </w:rPr>
        <w:t>Škola je od nastavne godine 2023/2024 ušla u eksperimentalni program „Cjelodnevna škola.- Nacionalna razvojna strategija Republike Hrvatske do 2030. godine, Nacionalni plana razvoja sustava obrazovanja za razdoblje do 2027. i Nacionalni plana oporavka i otpornosti 2021. – 2026. (NN 78/21), a u skladu s člankom 29. stavkom 7. Zakona o odgoju i obrazovanju u osnovnoj i srednjoj školi ( u daljnjem tekstu: Zakon ) i Zakonom o potvrđivanju ugovora o zajmu između Republike Hrvatske i Međunarodne banke za obnovu i razvoj za Projekt »OPU Hrvatska: ususret održivom, pravednom i učinkovitom obrazovanju« (NN 1/22).</w:t>
      </w:r>
    </w:p>
    <w:p w:rsidR="00200344" w:rsidRPr="00E27F60" w:rsidRDefault="00200344" w:rsidP="00C02AFE">
      <w:pPr>
        <w:spacing w:after="0"/>
        <w:rPr>
          <w:sz w:val="20"/>
          <w:szCs w:val="20"/>
        </w:rPr>
      </w:pPr>
      <w:r w:rsidRPr="00E27F60">
        <w:rPr>
          <w:sz w:val="20"/>
          <w:szCs w:val="20"/>
        </w:rPr>
        <w:t>Projektom je predviđeno slijedeće:</w:t>
      </w:r>
    </w:p>
    <w:p w:rsidR="00200344" w:rsidRPr="00E27F60" w:rsidRDefault="00200344" w:rsidP="00C02AFE">
      <w:pPr>
        <w:spacing w:after="0"/>
        <w:rPr>
          <w:sz w:val="20"/>
          <w:szCs w:val="20"/>
        </w:rPr>
      </w:pPr>
      <w:r w:rsidRPr="00E27F60">
        <w:rPr>
          <w:sz w:val="20"/>
          <w:szCs w:val="20"/>
        </w:rPr>
        <w:t>Infrastrukturna ulaganja i organizacijske prilagodbe </w:t>
      </w:r>
    </w:p>
    <w:p w:rsidR="00200344" w:rsidRPr="00E27F60" w:rsidRDefault="00200344" w:rsidP="00C02AFE">
      <w:pPr>
        <w:spacing w:after="0"/>
        <w:rPr>
          <w:sz w:val="20"/>
          <w:szCs w:val="20"/>
        </w:rPr>
      </w:pPr>
      <w:r w:rsidRPr="00E27F60">
        <w:rPr>
          <w:sz w:val="20"/>
          <w:szCs w:val="20"/>
        </w:rPr>
        <w:t xml:space="preserve">Stručno usavršavanje učitelja, stručnih suradnika i ravnatelja </w:t>
      </w:r>
    </w:p>
    <w:p w:rsidR="00200344" w:rsidRPr="00E27F60" w:rsidRDefault="00200344" w:rsidP="00C02AFE">
      <w:pPr>
        <w:spacing w:after="0"/>
        <w:rPr>
          <w:sz w:val="20"/>
          <w:szCs w:val="20"/>
        </w:rPr>
      </w:pPr>
      <w:r w:rsidRPr="00E27F60">
        <w:rPr>
          <w:sz w:val="20"/>
          <w:szCs w:val="20"/>
        </w:rPr>
        <w:t>Vanjsko vrednovanje i stručno praćenje </w:t>
      </w:r>
    </w:p>
    <w:p w:rsidR="00095376" w:rsidRPr="00E27F60" w:rsidRDefault="00200344" w:rsidP="00C02AFE">
      <w:pPr>
        <w:spacing w:after="0"/>
        <w:rPr>
          <w:sz w:val="20"/>
          <w:szCs w:val="20"/>
        </w:rPr>
      </w:pPr>
      <w:r w:rsidRPr="00E27F60">
        <w:rPr>
          <w:sz w:val="20"/>
          <w:szCs w:val="20"/>
        </w:rPr>
        <w:t>Aktivnosti stručne podrške i razmjene iskustava .</w:t>
      </w:r>
    </w:p>
    <w:p w:rsidR="00172037" w:rsidRPr="00E27F60" w:rsidRDefault="00172037" w:rsidP="00C02AFE">
      <w:pPr>
        <w:spacing w:after="0"/>
        <w:rPr>
          <w:sz w:val="20"/>
          <w:szCs w:val="20"/>
        </w:rPr>
      </w:pPr>
    </w:p>
    <w:p w:rsidR="00984F50" w:rsidRDefault="00172037" w:rsidP="00C02AFE">
      <w:pPr>
        <w:spacing w:after="0"/>
        <w:rPr>
          <w:sz w:val="20"/>
          <w:szCs w:val="20"/>
        </w:rPr>
      </w:pPr>
      <w:r w:rsidRPr="00E27F60">
        <w:rPr>
          <w:sz w:val="20"/>
          <w:szCs w:val="20"/>
        </w:rPr>
        <w:lastRenderedPageBreak/>
        <w:t>Radi dodatnih ulaganja na građevinskim objektima, nabavka opreme za učionice i kuhinju, povećana j</w:t>
      </w:r>
      <w:r w:rsidR="00D561D1">
        <w:rPr>
          <w:sz w:val="20"/>
          <w:szCs w:val="20"/>
        </w:rPr>
        <w:t>e vrijednost dugotrajne imovine ( u 2025. godini na rashode za nabavu nefinancijske imovine napravljen je trošak u iznosu 444.119,80 eura</w:t>
      </w:r>
      <w:r w:rsidRPr="00E27F60">
        <w:rPr>
          <w:sz w:val="20"/>
          <w:szCs w:val="20"/>
        </w:rPr>
        <w:t xml:space="preserve"> Napravljen je ispravak dugotrajne imovine, a to je sve rezultiralo povećanjem obujma i vrijednosti dugotrajne imovine.</w:t>
      </w:r>
    </w:p>
    <w:p w:rsidR="00984F50" w:rsidRDefault="00984F50" w:rsidP="00C02AFE">
      <w:pPr>
        <w:spacing w:after="0"/>
        <w:rPr>
          <w:sz w:val="20"/>
          <w:szCs w:val="20"/>
        </w:rPr>
      </w:pPr>
    </w:p>
    <w:p w:rsidR="00984F50" w:rsidRDefault="00984F50" w:rsidP="00C02AF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Infrastrukturnim ulaganjem i organizacijskom prilagodbom za potrebe CDŠ-a,  škola je počela sa radom kuhinje. Sklopljeni su ugovori o nabavci namirnica te su isti knjiženi u </w:t>
      </w:r>
      <w:proofErr w:type="spellStart"/>
      <w:r>
        <w:rPr>
          <w:sz w:val="20"/>
          <w:szCs w:val="20"/>
        </w:rPr>
        <w:t>izvanbilančnim</w:t>
      </w:r>
      <w:proofErr w:type="spellEnd"/>
      <w:r>
        <w:rPr>
          <w:sz w:val="20"/>
          <w:szCs w:val="20"/>
        </w:rPr>
        <w:t xml:space="preserve"> zapisima (Aktiva i Pasiva)</w:t>
      </w:r>
    </w:p>
    <w:p w:rsidR="000A2675" w:rsidRDefault="000A2675" w:rsidP="00C02AFE">
      <w:pPr>
        <w:spacing w:after="0"/>
        <w:rPr>
          <w:sz w:val="20"/>
          <w:szCs w:val="20"/>
        </w:rPr>
      </w:pPr>
    </w:p>
    <w:p w:rsidR="000A2675" w:rsidRPr="00E27F60" w:rsidRDefault="000A2675" w:rsidP="00C02AFE">
      <w:pPr>
        <w:spacing w:after="0"/>
        <w:rPr>
          <w:sz w:val="20"/>
          <w:szCs w:val="20"/>
        </w:rPr>
      </w:pPr>
    </w:p>
    <w:p w:rsidR="000A2675" w:rsidRPr="000A2675" w:rsidRDefault="000A2675" w:rsidP="000A2675">
      <w:pPr>
        <w:keepNext/>
        <w:spacing w:line="240" w:lineRule="auto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 w:val="28"/>
          <w:szCs w:val="20"/>
        </w:rPr>
        <w:t>Bilješka 2</w:t>
      </w:r>
      <w:r w:rsidRPr="000A2675">
        <w:rPr>
          <w:rFonts w:eastAsia="Times New Roman" w:cs="Times New Roman"/>
          <w:sz w:val="28"/>
          <w:szCs w:val="20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A2675" w:rsidRPr="000A2675" w:rsidTr="008920F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2675" w:rsidRPr="000A2675" w:rsidRDefault="000A2675" w:rsidP="000A2675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A2675">
              <w:rPr>
                <w:rFonts w:eastAsia="Times New Roman" w:cs="Times New Roman"/>
                <w:b/>
                <w:sz w:val="18"/>
                <w:szCs w:val="20"/>
              </w:rPr>
              <w:t xml:space="preserve">Račun iz </w:t>
            </w:r>
            <w:proofErr w:type="spellStart"/>
            <w:r w:rsidRPr="000A2675">
              <w:rPr>
                <w:rFonts w:eastAsia="Times New Roman" w:cs="Times New Roman"/>
                <w:b/>
                <w:sz w:val="18"/>
                <w:szCs w:val="20"/>
              </w:rPr>
              <w:t>rač</w:t>
            </w:r>
            <w:proofErr w:type="spellEnd"/>
            <w:r w:rsidRPr="000A2675">
              <w:rPr>
                <w:rFonts w:eastAsia="Times New Roman" w:cs="Times New Roman"/>
                <w:b/>
                <w:sz w:val="18"/>
                <w:szCs w:val="20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2675" w:rsidRPr="000A2675" w:rsidRDefault="000A2675" w:rsidP="000A2675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A2675">
              <w:rPr>
                <w:rFonts w:eastAsia="Times New Roman" w:cs="Times New Roman"/>
                <w:b/>
                <w:sz w:val="18"/>
                <w:szCs w:val="20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2675" w:rsidRPr="000A2675" w:rsidRDefault="000A2675" w:rsidP="000A2675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A2675">
              <w:rPr>
                <w:rFonts w:eastAsia="Times New Roman" w:cs="Times New Roman"/>
                <w:b/>
                <w:sz w:val="18"/>
                <w:szCs w:val="20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2675" w:rsidRPr="000A2675" w:rsidRDefault="000A2675" w:rsidP="000A2675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A2675">
              <w:rPr>
                <w:rFonts w:eastAsia="Times New Roman" w:cs="Times New Roman"/>
                <w:b/>
                <w:sz w:val="18"/>
                <w:szCs w:val="20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2675" w:rsidRPr="000A2675" w:rsidRDefault="000A2675" w:rsidP="000A2675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A2675">
              <w:rPr>
                <w:rFonts w:eastAsia="Times New Roman" w:cs="Times New Roman"/>
                <w:b/>
                <w:sz w:val="18"/>
                <w:szCs w:val="20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2675" w:rsidRPr="000A2675" w:rsidRDefault="000A2675" w:rsidP="000A2675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A2675">
              <w:rPr>
                <w:rFonts w:eastAsia="Times New Roman" w:cs="Times New Roman"/>
                <w:b/>
                <w:sz w:val="18"/>
                <w:szCs w:val="20"/>
              </w:rPr>
              <w:t>Indeks (%)</w:t>
            </w:r>
          </w:p>
        </w:tc>
      </w:tr>
      <w:tr w:rsidR="000A2675" w:rsidRPr="000A2675" w:rsidTr="008920F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2675" w:rsidRPr="000A2675" w:rsidRDefault="000A2675" w:rsidP="000A2675">
            <w:pPr>
              <w:keepNext/>
              <w:keepLines/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0A2675">
              <w:rPr>
                <w:rFonts w:eastAsia="Times New Roman" w:cs="Times New Roman"/>
                <w:sz w:val="18"/>
                <w:szCs w:val="20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2675" w:rsidRPr="000A2675" w:rsidRDefault="000A2675" w:rsidP="000A2675">
            <w:pPr>
              <w:keepNext/>
              <w:keepLines/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0A2675">
              <w:rPr>
                <w:rFonts w:eastAsia="Times New Roman" w:cs="Times New Roman"/>
                <w:sz w:val="18"/>
                <w:szCs w:val="20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2675" w:rsidRPr="000A2675" w:rsidRDefault="000A2675" w:rsidP="000A2675">
            <w:pPr>
              <w:keepNext/>
              <w:keepLines/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0A2675">
              <w:rPr>
                <w:rFonts w:eastAsia="Times New Roman" w:cs="Times New Roman"/>
                <w:sz w:val="18"/>
                <w:szCs w:val="20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2675" w:rsidRPr="000A2675" w:rsidRDefault="000A2675" w:rsidP="000A2675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83.445,56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2675" w:rsidRPr="000A2675" w:rsidRDefault="000A2675" w:rsidP="000A2675">
            <w:pPr>
              <w:keepNext/>
              <w:keepLines/>
              <w:spacing w:after="0" w:line="240" w:lineRule="auto"/>
              <w:jc w:val="right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33.532,44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2675" w:rsidRPr="000A2675" w:rsidRDefault="008C63E9" w:rsidP="000A2675">
            <w:pPr>
              <w:keepNext/>
              <w:keepLines/>
              <w:spacing w:after="0" w:line="240" w:lineRule="auto"/>
              <w:jc w:val="right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40,18</w:t>
            </w:r>
          </w:p>
        </w:tc>
      </w:tr>
    </w:tbl>
    <w:p w:rsidR="000A2675" w:rsidRPr="000A2675" w:rsidRDefault="000A2675" w:rsidP="000A2675">
      <w:pPr>
        <w:spacing w:after="0"/>
        <w:rPr>
          <w:rFonts w:eastAsia="Times New Roman" w:cs="Times New Roman"/>
          <w:szCs w:val="20"/>
        </w:rPr>
      </w:pPr>
    </w:p>
    <w:p w:rsidR="00E27F60" w:rsidRPr="000A2675" w:rsidRDefault="000A2675">
      <w:pPr>
        <w:rPr>
          <w:sz w:val="20"/>
          <w:szCs w:val="20"/>
        </w:rPr>
      </w:pPr>
      <w:r w:rsidRPr="000A2675">
        <w:rPr>
          <w:sz w:val="20"/>
          <w:szCs w:val="20"/>
        </w:rPr>
        <w:t>Izvori novčanih sredstva na kraju ovog izvještajnog razdoblja su smanjeni: Odnose se na sredstava MZOM doznačena pred kraj godine za financiranje školskih i izvan školskih aktivnosti, vlastita sredstva , te manjim donacija za provođenje aktivnosti Sportski praznici, a koji nisu u cijelosti utrošeni u 2025. godini</w:t>
      </w:r>
    </w:p>
    <w:p w:rsidR="00E27F60" w:rsidRDefault="00E27F60">
      <w:pPr>
        <w:rPr>
          <w:sz w:val="20"/>
          <w:szCs w:val="20"/>
        </w:rPr>
      </w:pPr>
    </w:p>
    <w:p w:rsidR="000A2675" w:rsidRPr="000A2675" w:rsidRDefault="000A2675" w:rsidP="000A2675">
      <w:pPr>
        <w:keepNext/>
        <w:spacing w:line="240" w:lineRule="auto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 w:val="28"/>
          <w:szCs w:val="20"/>
        </w:rPr>
        <w:t>Bilješka 3</w:t>
      </w:r>
      <w:r w:rsidRPr="000A2675">
        <w:rPr>
          <w:rFonts w:eastAsia="Times New Roman" w:cs="Times New Roman"/>
          <w:sz w:val="28"/>
          <w:szCs w:val="20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A2675" w:rsidRPr="000A2675" w:rsidTr="008920F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2675" w:rsidRPr="000A2675" w:rsidRDefault="000A2675" w:rsidP="000A2675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A2675">
              <w:rPr>
                <w:rFonts w:eastAsia="Times New Roman" w:cs="Times New Roman"/>
                <w:b/>
                <w:sz w:val="18"/>
                <w:szCs w:val="20"/>
              </w:rPr>
              <w:t xml:space="preserve">Račun iz </w:t>
            </w:r>
            <w:proofErr w:type="spellStart"/>
            <w:r w:rsidRPr="000A2675">
              <w:rPr>
                <w:rFonts w:eastAsia="Times New Roman" w:cs="Times New Roman"/>
                <w:b/>
                <w:sz w:val="18"/>
                <w:szCs w:val="20"/>
              </w:rPr>
              <w:t>rač</w:t>
            </w:r>
            <w:proofErr w:type="spellEnd"/>
            <w:r w:rsidRPr="000A2675">
              <w:rPr>
                <w:rFonts w:eastAsia="Times New Roman" w:cs="Times New Roman"/>
                <w:b/>
                <w:sz w:val="18"/>
                <w:szCs w:val="20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2675" w:rsidRPr="000A2675" w:rsidRDefault="000A2675" w:rsidP="000A2675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A2675">
              <w:rPr>
                <w:rFonts w:eastAsia="Times New Roman" w:cs="Times New Roman"/>
                <w:b/>
                <w:sz w:val="18"/>
                <w:szCs w:val="20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2675" w:rsidRPr="000A2675" w:rsidRDefault="000A2675" w:rsidP="000A2675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A2675">
              <w:rPr>
                <w:rFonts w:eastAsia="Times New Roman" w:cs="Times New Roman"/>
                <w:b/>
                <w:sz w:val="18"/>
                <w:szCs w:val="20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2675" w:rsidRPr="000A2675" w:rsidRDefault="000A2675" w:rsidP="000A2675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A2675">
              <w:rPr>
                <w:rFonts w:eastAsia="Times New Roman" w:cs="Times New Roman"/>
                <w:b/>
                <w:sz w:val="18"/>
                <w:szCs w:val="20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2675" w:rsidRPr="000A2675" w:rsidRDefault="000A2675" w:rsidP="000A2675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A2675">
              <w:rPr>
                <w:rFonts w:eastAsia="Times New Roman" w:cs="Times New Roman"/>
                <w:b/>
                <w:sz w:val="18"/>
                <w:szCs w:val="20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2675" w:rsidRPr="000A2675" w:rsidRDefault="000A2675" w:rsidP="000A2675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A2675">
              <w:rPr>
                <w:rFonts w:eastAsia="Times New Roman" w:cs="Times New Roman"/>
                <w:b/>
                <w:sz w:val="18"/>
                <w:szCs w:val="20"/>
              </w:rPr>
              <w:t>Indeks (%)</w:t>
            </w:r>
          </w:p>
        </w:tc>
      </w:tr>
      <w:tr w:rsidR="000A2675" w:rsidRPr="000A2675" w:rsidTr="008920F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2675" w:rsidRPr="000A2675" w:rsidRDefault="008C63E9" w:rsidP="000A2675">
            <w:pPr>
              <w:keepNext/>
              <w:keepLines/>
              <w:spacing w:after="0" w:line="240" w:lineRule="auto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2675" w:rsidRPr="000A2675" w:rsidRDefault="000A2675" w:rsidP="008C63E9">
            <w:pPr>
              <w:keepNext/>
              <w:keepLines/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0A2675">
              <w:rPr>
                <w:rFonts w:eastAsia="Times New Roman" w:cs="Times New Roman"/>
                <w:sz w:val="18"/>
                <w:szCs w:val="20"/>
              </w:rPr>
              <w:t xml:space="preserve">Manjak prihoda </w:t>
            </w:r>
            <w:r w:rsidR="008C63E9">
              <w:rPr>
                <w:rFonts w:eastAsia="Times New Roman" w:cs="Times New Roman"/>
                <w:sz w:val="18"/>
                <w:szCs w:val="20"/>
              </w:rPr>
              <w:t>i primitaka ( šifre od  92221do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2675" w:rsidRPr="000A2675" w:rsidRDefault="008C63E9" w:rsidP="000A2675">
            <w:pPr>
              <w:keepNext/>
              <w:keepLines/>
              <w:spacing w:after="0" w:line="240" w:lineRule="auto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2675" w:rsidRPr="000A2675" w:rsidRDefault="008C63E9" w:rsidP="000A2675">
            <w:pPr>
              <w:keepNext/>
              <w:keepLines/>
              <w:spacing w:after="0" w:line="240" w:lineRule="auto"/>
              <w:jc w:val="right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-451,43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2675" w:rsidRPr="000A2675" w:rsidRDefault="008C63E9" w:rsidP="000A2675">
            <w:pPr>
              <w:keepNext/>
              <w:keepLines/>
              <w:spacing w:after="0" w:line="240" w:lineRule="auto"/>
              <w:jc w:val="right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-182.391,75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2675" w:rsidRPr="000A2675" w:rsidRDefault="008C63E9" w:rsidP="000A2675">
            <w:pPr>
              <w:keepNext/>
              <w:keepLines/>
              <w:spacing w:after="0" w:line="240" w:lineRule="auto"/>
              <w:jc w:val="right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veći od 100</w:t>
            </w:r>
          </w:p>
        </w:tc>
      </w:tr>
    </w:tbl>
    <w:p w:rsidR="000A2675" w:rsidRPr="000A2675" w:rsidRDefault="000A2675" w:rsidP="000A2675">
      <w:pPr>
        <w:spacing w:after="0"/>
        <w:rPr>
          <w:rFonts w:eastAsia="Times New Roman" w:cs="Times New Roman"/>
          <w:szCs w:val="20"/>
        </w:rPr>
      </w:pPr>
    </w:p>
    <w:p w:rsidR="008C63E9" w:rsidRDefault="008C63E9" w:rsidP="008C63E9">
      <w:pPr>
        <w:spacing w:after="0"/>
      </w:pPr>
    </w:p>
    <w:p w:rsidR="008C63E9" w:rsidRPr="00E27F60" w:rsidRDefault="008C63E9" w:rsidP="008C63E9">
      <w:pPr>
        <w:rPr>
          <w:sz w:val="20"/>
          <w:szCs w:val="20"/>
        </w:rPr>
      </w:pPr>
      <w:r w:rsidRPr="00E27F60">
        <w:rPr>
          <w:sz w:val="20"/>
          <w:szCs w:val="20"/>
        </w:rPr>
        <w:t xml:space="preserve">U 2025. godini škola je iskazala manjak u ukupnom iznosu 182.391,75 ( šifra 922). Razlog iskazanog manjka povećani troškovi nastali zbog ulaska škole u eksperimentalni program „Cjelodnevna škola“ ( zapošljavanje novi djelatnika, infrastrukturna prilagodba </w:t>
      </w:r>
      <w:proofErr w:type="spellStart"/>
      <w:r w:rsidRPr="00E27F60">
        <w:rPr>
          <w:sz w:val="20"/>
          <w:szCs w:val="20"/>
        </w:rPr>
        <w:t>tj</w:t>
      </w:r>
      <w:proofErr w:type="spellEnd"/>
      <w:r w:rsidRPr="00E27F60">
        <w:rPr>
          <w:sz w:val="20"/>
          <w:szCs w:val="20"/>
        </w:rPr>
        <w:t xml:space="preserve"> dodatno ulaganje na građevinskim objektima, opremanje kuhinje,učionica, stručna usavršavanja učitelja, stručnih suradnika, uvođenje izvanškolskih aktivnosti za djecu –  sklopljeni su ugovori sa udrugama za koje su djeca pokazala interes za izvanškolske aktivnosti, a uglavnom se radi o sportskim i kulturnim udrugama koja djecu osposobljavaju), povećani su izdaci za plaće zaposlenika, a  u 2025. godini knjižen trošak 13. plaća novi Pravilnik o proračunskom računovodstvu.</w:t>
      </w:r>
    </w:p>
    <w:p w:rsidR="000A2675" w:rsidRPr="00E27F60" w:rsidRDefault="000A2675">
      <w:pPr>
        <w:rPr>
          <w:sz w:val="20"/>
          <w:szCs w:val="20"/>
        </w:rPr>
      </w:pPr>
    </w:p>
    <w:p w:rsidR="00611800" w:rsidRDefault="00B00EB0" w:rsidP="00E45FE2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prihodima i rashodima, primicima i izdacima</w:t>
      </w:r>
    </w:p>
    <w:p w:rsidR="00611800" w:rsidRDefault="00B852D8">
      <w:pPr>
        <w:keepNext/>
        <w:spacing w:line="240" w:lineRule="auto"/>
        <w:jc w:val="center"/>
      </w:pPr>
      <w:r>
        <w:rPr>
          <w:sz w:val="28"/>
        </w:rPr>
        <w:t>Bilješka 4</w:t>
      </w:r>
      <w:r w:rsidR="00B00EB0">
        <w:rPr>
          <w:sz w:val="28"/>
        </w:rPr>
        <w:t>.</w:t>
      </w:r>
    </w:p>
    <w:tbl>
      <w:tblPr>
        <w:tblW w:w="9214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914"/>
      </w:tblGrid>
      <w:tr w:rsidR="00611800" w:rsidTr="0018183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9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1800" w:rsidTr="001818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1800" w:rsidRDefault="00C02A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1.947.687,36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1800" w:rsidRDefault="00C02A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2.496.870,57</w:t>
            </w:r>
          </w:p>
        </w:tc>
        <w:tc>
          <w:tcPr>
            <w:tcW w:w="914" w:type="dxa"/>
            <w:tcMar>
              <w:top w:w="0" w:type="dxa"/>
              <w:bottom w:w="0" w:type="dxa"/>
            </w:tcMar>
            <w:vAlign w:val="center"/>
          </w:tcPr>
          <w:p w:rsidR="00611800" w:rsidRDefault="00C02A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128,2</w:t>
            </w:r>
          </w:p>
        </w:tc>
      </w:tr>
      <w:tr w:rsidR="00611800" w:rsidTr="001818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1800" w:rsidRDefault="00C02A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1.886.980,69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1800" w:rsidRDefault="00C02A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2.234.691,09</w:t>
            </w:r>
          </w:p>
        </w:tc>
        <w:tc>
          <w:tcPr>
            <w:tcW w:w="914" w:type="dxa"/>
            <w:tcMar>
              <w:top w:w="0" w:type="dxa"/>
              <w:bottom w:w="0" w:type="dxa"/>
            </w:tcMar>
            <w:vAlign w:val="center"/>
          </w:tcPr>
          <w:p w:rsidR="00611800" w:rsidRDefault="00A839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118,4</w:t>
            </w:r>
          </w:p>
        </w:tc>
      </w:tr>
      <w:tr w:rsidR="00611800" w:rsidTr="001818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61180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1800" w:rsidRDefault="00C02A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60.706,67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1800" w:rsidRDefault="00C02A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262.179,48</w:t>
            </w:r>
          </w:p>
        </w:tc>
        <w:tc>
          <w:tcPr>
            <w:tcW w:w="914" w:type="dxa"/>
            <w:tcMar>
              <w:top w:w="0" w:type="dxa"/>
              <w:bottom w:w="0" w:type="dxa"/>
            </w:tcMar>
            <w:vAlign w:val="center"/>
          </w:tcPr>
          <w:p w:rsidR="00611800" w:rsidRDefault="00A839C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431,9</w:t>
            </w:r>
          </w:p>
        </w:tc>
      </w:tr>
      <w:tr w:rsidR="00611800" w:rsidTr="001818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914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11800" w:rsidTr="001818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1800" w:rsidRDefault="00C02A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61.895,49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1800" w:rsidRDefault="001818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444.119,8</w:t>
            </w:r>
            <w:r w:rsidR="00C02AFE">
              <w:rPr>
                <w:sz w:val="18"/>
              </w:rPr>
              <w:t>0</w:t>
            </w:r>
          </w:p>
        </w:tc>
        <w:tc>
          <w:tcPr>
            <w:tcW w:w="914" w:type="dxa"/>
            <w:tcMar>
              <w:top w:w="0" w:type="dxa"/>
              <w:bottom w:w="0" w:type="dxa"/>
            </w:tcMar>
            <w:vAlign w:val="center"/>
          </w:tcPr>
          <w:p w:rsidR="00611800" w:rsidRDefault="00A839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717,5</w:t>
            </w:r>
          </w:p>
        </w:tc>
      </w:tr>
      <w:tr w:rsidR="00611800" w:rsidTr="001818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61180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1800" w:rsidRDefault="00C02A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61.895,49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1800" w:rsidRDefault="00C02A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444.119,80</w:t>
            </w:r>
          </w:p>
        </w:tc>
        <w:tc>
          <w:tcPr>
            <w:tcW w:w="914" w:type="dxa"/>
            <w:tcMar>
              <w:top w:w="0" w:type="dxa"/>
              <w:bottom w:w="0" w:type="dxa"/>
            </w:tcMar>
            <w:vAlign w:val="center"/>
          </w:tcPr>
          <w:p w:rsidR="00611800" w:rsidRDefault="00A839C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717,5</w:t>
            </w:r>
          </w:p>
        </w:tc>
      </w:tr>
      <w:tr w:rsidR="00611800" w:rsidTr="001818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914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11800" w:rsidTr="001818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914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11800" w:rsidTr="001818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61180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14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11800" w:rsidTr="001818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61180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1818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1800" w:rsidRDefault="001818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1.188,82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1800" w:rsidRDefault="001818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181.940,32</w:t>
            </w:r>
          </w:p>
        </w:tc>
        <w:tc>
          <w:tcPr>
            <w:tcW w:w="914" w:type="dxa"/>
            <w:tcMar>
              <w:top w:w="0" w:type="dxa"/>
              <w:bottom w:w="0" w:type="dxa"/>
            </w:tcMar>
            <w:vAlign w:val="center"/>
          </w:tcPr>
          <w:p w:rsidR="00611800" w:rsidRPr="00D57EFB" w:rsidRDefault="00D57EFB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 w:rsidRPr="00D57EFB">
              <w:rPr>
                <w:b/>
                <w:sz w:val="18"/>
              </w:rPr>
              <w:t>veći od 100</w:t>
            </w:r>
          </w:p>
        </w:tc>
      </w:tr>
      <w:tr w:rsidR="00181838" w:rsidTr="001818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1838" w:rsidRDefault="001818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1838" w:rsidRDefault="00553F62">
            <w:pPr>
              <w:keepNext/>
              <w:keepLines/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VIŠAK PRIHODA I PRIMITAKA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1838" w:rsidRDefault="00553F62">
            <w:pPr>
              <w:keepNext/>
              <w:keepLines/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1838" w:rsidRDefault="00553F62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737,39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1838" w:rsidRDefault="00553F62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</w:t>
            </w:r>
            <w:proofErr w:type="spellStart"/>
            <w:r>
              <w:rPr>
                <w:b/>
                <w:sz w:val="18"/>
              </w:rPr>
              <w:t>0</w:t>
            </w:r>
            <w:proofErr w:type="spellEnd"/>
          </w:p>
        </w:tc>
        <w:tc>
          <w:tcPr>
            <w:tcW w:w="914" w:type="dxa"/>
            <w:tcMar>
              <w:top w:w="0" w:type="dxa"/>
              <w:bottom w:w="0" w:type="dxa"/>
            </w:tcMar>
            <w:vAlign w:val="center"/>
          </w:tcPr>
          <w:p w:rsidR="00181838" w:rsidRDefault="00D57EFB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181838" w:rsidTr="001818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1838" w:rsidRDefault="001818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1838" w:rsidRDefault="00553F62">
            <w:pPr>
              <w:keepNext/>
              <w:keepLines/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MANJAK PRIHODA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1838" w:rsidRDefault="00553F62">
            <w:pPr>
              <w:keepNext/>
              <w:keepLines/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9222-9221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1838" w:rsidRDefault="00553F62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</w:t>
            </w:r>
            <w:proofErr w:type="spellStart"/>
            <w:r>
              <w:rPr>
                <w:b/>
                <w:sz w:val="18"/>
              </w:rPr>
              <w:t>0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1838" w:rsidRDefault="00553F62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453,43</w:t>
            </w:r>
          </w:p>
        </w:tc>
        <w:tc>
          <w:tcPr>
            <w:tcW w:w="914" w:type="dxa"/>
            <w:tcMar>
              <w:top w:w="0" w:type="dxa"/>
              <w:bottom w:w="0" w:type="dxa"/>
            </w:tcMar>
            <w:vAlign w:val="center"/>
          </w:tcPr>
          <w:p w:rsidR="00181838" w:rsidRDefault="00D57EFB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553F62" w:rsidTr="001818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53F62" w:rsidRDefault="00553F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53F62" w:rsidRDefault="00553F62">
            <w:pPr>
              <w:keepNext/>
              <w:keepLines/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MANJAK PRIHODA I PRIMITAKA ZA POKRIĆE U SLJEDEĆEM RAZDOBLJU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53F62" w:rsidRDefault="00553F62">
            <w:pPr>
              <w:keepNext/>
              <w:keepLines/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53F62" w:rsidRDefault="00553F62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53F62" w:rsidRDefault="00553F62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182.391,75</w:t>
            </w:r>
          </w:p>
        </w:tc>
        <w:tc>
          <w:tcPr>
            <w:tcW w:w="914" w:type="dxa"/>
            <w:tcMar>
              <w:top w:w="0" w:type="dxa"/>
              <w:bottom w:w="0" w:type="dxa"/>
            </w:tcMar>
            <w:vAlign w:val="center"/>
          </w:tcPr>
          <w:p w:rsidR="00553F62" w:rsidRDefault="00D57EFB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veći od 100</w:t>
            </w:r>
          </w:p>
        </w:tc>
      </w:tr>
    </w:tbl>
    <w:p w:rsidR="00611800" w:rsidRDefault="00611800">
      <w:pPr>
        <w:spacing w:after="0"/>
      </w:pPr>
    </w:p>
    <w:p w:rsidR="00172037" w:rsidRPr="00E27F60" w:rsidRDefault="00172037" w:rsidP="00172037">
      <w:pPr>
        <w:rPr>
          <w:sz w:val="20"/>
          <w:szCs w:val="20"/>
        </w:rPr>
      </w:pPr>
      <w:r w:rsidRPr="00E27F60">
        <w:rPr>
          <w:sz w:val="20"/>
          <w:szCs w:val="20"/>
        </w:rPr>
        <w:t xml:space="preserve">U 2025. godini škola je iskazala manjak u ukupnom iznosu 182.391,75 ( šifra 922). Razlog iskazanog manjka povećani troškovi nastali zbog ulaska škole u eksperimentalni program „Cjelodnevna škola“ ( zapošljavanje novi djelatnika, infrastrukturna prilagodba </w:t>
      </w:r>
      <w:proofErr w:type="spellStart"/>
      <w:r w:rsidRPr="00E27F60">
        <w:rPr>
          <w:sz w:val="20"/>
          <w:szCs w:val="20"/>
        </w:rPr>
        <w:t>tj</w:t>
      </w:r>
      <w:proofErr w:type="spellEnd"/>
      <w:r w:rsidRPr="00E27F60">
        <w:rPr>
          <w:sz w:val="20"/>
          <w:szCs w:val="20"/>
        </w:rPr>
        <w:t xml:space="preserve"> dodatno ulaganje na građevinskim objektima, opremanje kuhinje,učionica, stručna usavršavanja učitelja, stručnih suradnika, uvođenje izvanškolskih aktivnosti za djecu –  sklopljeni su ugovori sa udrugama za koje su djeca pokazala interes za izvanškolske aktivnosti, a uglavnom se radi o sportskim i kulturnim udrugama koja djecu osposobljavaju), povećani su izdaci za plaće zaposlenika, a  u 2025. godini knjižen trošak 13. plaća novi Pravilnik o proračunskom računovodstvu.</w:t>
      </w:r>
    </w:p>
    <w:p w:rsidR="00172037" w:rsidRPr="00E27F60" w:rsidRDefault="00172037">
      <w:pPr>
        <w:spacing w:after="0"/>
        <w:rPr>
          <w:sz w:val="20"/>
          <w:szCs w:val="20"/>
        </w:rPr>
      </w:pPr>
    </w:p>
    <w:p w:rsidR="00611800" w:rsidRPr="00E27F60" w:rsidRDefault="00B00EB0">
      <w:pPr>
        <w:spacing w:line="240" w:lineRule="auto"/>
        <w:jc w:val="both"/>
        <w:rPr>
          <w:sz w:val="20"/>
          <w:szCs w:val="20"/>
        </w:rPr>
      </w:pPr>
      <w:r w:rsidRPr="00E27F60">
        <w:rPr>
          <w:sz w:val="20"/>
          <w:szCs w:val="20"/>
        </w:rPr>
        <w:t xml:space="preserve">Prihodi poslovanja za razdoblje od </w:t>
      </w:r>
      <w:r w:rsidR="00DE76ED" w:rsidRPr="00E27F60">
        <w:rPr>
          <w:sz w:val="20"/>
          <w:szCs w:val="20"/>
        </w:rPr>
        <w:t>1.1.do 31.12</w:t>
      </w:r>
      <w:r w:rsidRPr="00E27F60">
        <w:rPr>
          <w:sz w:val="20"/>
          <w:szCs w:val="20"/>
        </w:rPr>
        <w:t xml:space="preserve">.2025. godine iznose </w:t>
      </w:r>
      <w:r w:rsidR="00172037" w:rsidRPr="00E27F60">
        <w:rPr>
          <w:sz w:val="20"/>
          <w:szCs w:val="20"/>
        </w:rPr>
        <w:t>2.496</w:t>
      </w:r>
      <w:r w:rsidR="00DE76ED" w:rsidRPr="00E27F60">
        <w:rPr>
          <w:sz w:val="20"/>
          <w:szCs w:val="20"/>
        </w:rPr>
        <w:t>.870,57</w:t>
      </w:r>
      <w:r w:rsidRPr="00E27F60">
        <w:rPr>
          <w:sz w:val="20"/>
          <w:szCs w:val="20"/>
        </w:rPr>
        <w:t xml:space="preserve"> €. Rashodi poslovanja za isto obračunsko razdoblje iznose </w:t>
      </w:r>
      <w:r w:rsidR="00DE76ED" w:rsidRPr="00E27F60">
        <w:rPr>
          <w:sz w:val="20"/>
          <w:szCs w:val="20"/>
        </w:rPr>
        <w:t>2.234.691,09 €. Iskazan je v</w:t>
      </w:r>
      <w:r w:rsidRPr="00E27F60">
        <w:rPr>
          <w:sz w:val="20"/>
          <w:szCs w:val="20"/>
        </w:rPr>
        <w:t xml:space="preserve">išak prihoda poslovanja u iznosu </w:t>
      </w:r>
      <w:r w:rsidR="00DE76ED" w:rsidRPr="00E27F60">
        <w:rPr>
          <w:sz w:val="20"/>
          <w:szCs w:val="20"/>
        </w:rPr>
        <w:t>262.179,48</w:t>
      </w:r>
      <w:r w:rsidRPr="00E27F60">
        <w:rPr>
          <w:sz w:val="20"/>
          <w:szCs w:val="20"/>
        </w:rPr>
        <w:t xml:space="preserve"> €. U istom obračunskom razdoblju škola nije imala prihode od prodaje nefinancijske imovine, ali je ostvarila rashode za nabavu nefinancijske imovine u iznosu </w:t>
      </w:r>
      <w:r w:rsidR="00DE76ED" w:rsidRPr="00E27F60">
        <w:rPr>
          <w:sz w:val="20"/>
          <w:szCs w:val="20"/>
        </w:rPr>
        <w:t xml:space="preserve">444.119,80 </w:t>
      </w:r>
      <w:r w:rsidRPr="00E27F60">
        <w:rPr>
          <w:sz w:val="20"/>
          <w:szCs w:val="20"/>
        </w:rPr>
        <w:t xml:space="preserve">€  te je iskazan manjak prihoda od nefinancijske imovine u iznosu </w:t>
      </w:r>
      <w:r w:rsidR="00DE76ED" w:rsidRPr="00E27F60">
        <w:rPr>
          <w:sz w:val="20"/>
          <w:szCs w:val="20"/>
        </w:rPr>
        <w:t xml:space="preserve">441.119,80 </w:t>
      </w:r>
      <w:r w:rsidRPr="00E27F60">
        <w:rPr>
          <w:sz w:val="20"/>
          <w:szCs w:val="20"/>
        </w:rPr>
        <w:t>€.  Ukupan manjak prihoda obračun</w:t>
      </w:r>
      <w:r w:rsidR="00DE76ED" w:rsidRPr="00E27F60">
        <w:rPr>
          <w:sz w:val="20"/>
          <w:szCs w:val="20"/>
        </w:rPr>
        <w:t>skog razdoblja iznosi 18</w:t>
      </w:r>
      <w:r w:rsidR="00172037" w:rsidRPr="00E27F60">
        <w:rPr>
          <w:sz w:val="20"/>
          <w:szCs w:val="20"/>
        </w:rPr>
        <w:t>1</w:t>
      </w:r>
      <w:r w:rsidR="00DE76ED" w:rsidRPr="00E27F60">
        <w:rPr>
          <w:sz w:val="20"/>
          <w:szCs w:val="20"/>
        </w:rPr>
        <w:t xml:space="preserve">.940,32 </w:t>
      </w:r>
      <w:r w:rsidRPr="00E27F60">
        <w:rPr>
          <w:sz w:val="20"/>
          <w:szCs w:val="20"/>
        </w:rPr>
        <w:t>€. Preneseni manjak prihoda iznosi 451,43</w:t>
      </w:r>
      <w:r w:rsidR="00DE76ED" w:rsidRPr="00E27F60">
        <w:rPr>
          <w:sz w:val="20"/>
          <w:szCs w:val="20"/>
        </w:rPr>
        <w:t xml:space="preserve"> </w:t>
      </w:r>
      <w:r w:rsidRPr="00E27F60">
        <w:rPr>
          <w:sz w:val="20"/>
          <w:szCs w:val="20"/>
        </w:rPr>
        <w:t xml:space="preserve">€, te je manjak prihoda i primitaka za pokriće u sljedećem razdoblju iznosi </w:t>
      </w:r>
      <w:r w:rsidR="000458E6" w:rsidRPr="00E27F60">
        <w:rPr>
          <w:sz w:val="20"/>
          <w:szCs w:val="20"/>
        </w:rPr>
        <w:t>182.391,75</w:t>
      </w:r>
      <w:r w:rsidR="00DE76ED" w:rsidRPr="00E27F60">
        <w:rPr>
          <w:sz w:val="20"/>
          <w:szCs w:val="20"/>
        </w:rPr>
        <w:t xml:space="preserve"> </w:t>
      </w:r>
      <w:r w:rsidRPr="00E27F60">
        <w:rPr>
          <w:sz w:val="20"/>
          <w:szCs w:val="20"/>
        </w:rPr>
        <w:t>€.</w:t>
      </w:r>
    </w:p>
    <w:p w:rsidR="00611800" w:rsidRDefault="00611800"/>
    <w:p w:rsidR="00611800" w:rsidRDefault="00B00EB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611800" w:rsidRDefault="00B852D8">
      <w:pPr>
        <w:keepNext/>
        <w:spacing w:line="240" w:lineRule="auto"/>
        <w:jc w:val="center"/>
      </w:pPr>
      <w:r>
        <w:rPr>
          <w:sz w:val="28"/>
        </w:rPr>
        <w:t>Bilješka 5</w:t>
      </w:r>
      <w:r w:rsidR="00B00EB0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1180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1180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61180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 w:rsidR="009C653B">
              <w:rPr>
                <w:sz w:val="18"/>
              </w:rPr>
              <w:t>V008</w:t>
            </w:r>
            <w:r>
              <w:rPr>
                <w:sz w:val="18"/>
              </w:rPr>
              <w:t>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11800" w:rsidRDefault="009C6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37.503,04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11800" w:rsidRDefault="00B00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11800" w:rsidRDefault="00611800">
      <w:pPr>
        <w:spacing w:after="0"/>
      </w:pPr>
    </w:p>
    <w:p w:rsidR="009C653B" w:rsidRPr="00E27F60" w:rsidRDefault="009C653B">
      <w:pPr>
        <w:spacing w:line="240" w:lineRule="auto"/>
        <w:jc w:val="both"/>
        <w:rPr>
          <w:sz w:val="20"/>
          <w:szCs w:val="20"/>
        </w:rPr>
      </w:pPr>
      <w:r w:rsidRPr="00E27F60">
        <w:rPr>
          <w:sz w:val="20"/>
          <w:szCs w:val="20"/>
        </w:rPr>
        <w:t>1.</w:t>
      </w:r>
      <w:r w:rsidR="00B00EB0" w:rsidRPr="00E27F60">
        <w:rPr>
          <w:sz w:val="20"/>
          <w:szCs w:val="20"/>
        </w:rPr>
        <w:t>Osnovna škola Ivana Mažuran</w:t>
      </w:r>
      <w:r w:rsidRPr="00E27F60">
        <w:rPr>
          <w:sz w:val="20"/>
          <w:szCs w:val="20"/>
        </w:rPr>
        <w:t>ića, Obrovac Sinjski sudjeluje</w:t>
      </w:r>
      <w:r w:rsidR="00B00EB0" w:rsidRPr="00E27F60">
        <w:rPr>
          <w:sz w:val="20"/>
          <w:szCs w:val="20"/>
        </w:rPr>
        <w:t xml:space="preserve"> u Eksperimentalnom programu  " Osnovna Škola kao cjelodnevna škola". Ulaskom u program povećane su i druge aktivnosti u okviru navedenog programa (prilagodba i uređenje objekata, opremanje škole, nabava vozila </w:t>
      </w:r>
      <w:proofErr w:type="spellStart"/>
      <w:r w:rsidR="00B00EB0" w:rsidRPr="00E27F60">
        <w:rPr>
          <w:sz w:val="20"/>
          <w:szCs w:val="20"/>
        </w:rPr>
        <w:t>itd</w:t>
      </w:r>
      <w:proofErr w:type="spellEnd"/>
      <w:r w:rsidR="00B00EB0" w:rsidRPr="00E27F60">
        <w:rPr>
          <w:sz w:val="20"/>
          <w:szCs w:val="20"/>
        </w:rPr>
        <w:t>). Sukladno sklopljenim ugovorima MZOM je preuzelo obvezu plaćanja nastalih obveza. Škola obveze prema dobavljačima zatvara po obavijesti koju škola primi od strane MZOM. Na datum</w:t>
      </w:r>
      <w:r w:rsidRPr="00E27F60">
        <w:rPr>
          <w:sz w:val="20"/>
          <w:szCs w:val="20"/>
        </w:rPr>
        <w:t xml:space="preserve"> 31</w:t>
      </w:r>
      <w:r w:rsidR="00B00EB0" w:rsidRPr="00E27F60">
        <w:rPr>
          <w:sz w:val="20"/>
          <w:szCs w:val="20"/>
        </w:rPr>
        <w:t>.</w:t>
      </w:r>
      <w:r w:rsidRPr="00E27F60">
        <w:rPr>
          <w:sz w:val="20"/>
          <w:szCs w:val="20"/>
        </w:rPr>
        <w:t>12</w:t>
      </w:r>
      <w:r w:rsidR="00E27F60">
        <w:rPr>
          <w:sz w:val="20"/>
          <w:szCs w:val="20"/>
        </w:rPr>
        <w:t xml:space="preserve">.2025. iskazan je manji </w:t>
      </w:r>
      <w:r w:rsidR="00B00EB0" w:rsidRPr="00E27F60">
        <w:rPr>
          <w:sz w:val="20"/>
          <w:szCs w:val="20"/>
        </w:rPr>
        <w:t xml:space="preserve"> iznos dospjelih obveza</w:t>
      </w:r>
      <w:r w:rsidR="00984F50">
        <w:rPr>
          <w:sz w:val="20"/>
          <w:szCs w:val="20"/>
        </w:rPr>
        <w:t xml:space="preserve"> na 24</w:t>
      </w:r>
      <w:r w:rsidR="00B00EB0" w:rsidRPr="00E27F60">
        <w:rPr>
          <w:sz w:val="20"/>
          <w:szCs w:val="20"/>
        </w:rPr>
        <w:t xml:space="preserve"> ( do 60 dana).</w:t>
      </w:r>
    </w:p>
    <w:p w:rsidR="00611800" w:rsidRDefault="00B00EB0">
      <w:pPr>
        <w:spacing w:line="240" w:lineRule="auto"/>
        <w:jc w:val="both"/>
        <w:rPr>
          <w:sz w:val="20"/>
          <w:szCs w:val="20"/>
        </w:rPr>
      </w:pPr>
      <w:r w:rsidRPr="00E27F60">
        <w:rPr>
          <w:sz w:val="20"/>
          <w:szCs w:val="20"/>
        </w:rPr>
        <w:t xml:space="preserve"> 2. </w:t>
      </w:r>
      <w:r w:rsidR="009C653B" w:rsidRPr="00E27F60">
        <w:rPr>
          <w:sz w:val="20"/>
          <w:szCs w:val="20"/>
        </w:rPr>
        <w:t xml:space="preserve">Uvođenjem </w:t>
      </w:r>
      <w:r w:rsidRPr="00E27F60">
        <w:rPr>
          <w:sz w:val="20"/>
          <w:szCs w:val="20"/>
        </w:rPr>
        <w:t xml:space="preserve"> Riznice, škola zahtjeve za plaćanja obveza prema dobavljačima šalje </w:t>
      </w:r>
      <w:r w:rsidR="009C653B" w:rsidRPr="00E27F60">
        <w:rPr>
          <w:sz w:val="20"/>
          <w:szCs w:val="20"/>
        </w:rPr>
        <w:t>osnivaču, koji</w:t>
      </w:r>
      <w:r w:rsidRPr="00E27F60">
        <w:rPr>
          <w:sz w:val="20"/>
          <w:szCs w:val="20"/>
        </w:rPr>
        <w:t xml:space="preserve"> zahtjeve obrađuje i plaća. Ulaskom u Eksperimentalni program došlo je do povećanja predanih zahtjeva (najam opreme, prehrana učenika, prijevoz školskih obroka </w:t>
      </w:r>
      <w:proofErr w:type="spellStart"/>
      <w:r w:rsidRPr="00E27F60">
        <w:rPr>
          <w:sz w:val="20"/>
          <w:szCs w:val="20"/>
        </w:rPr>
        <w:t>itd</w:t>
      </w:r>
      <w:proofErr w:type="spellEnd"/>
      <w:r w:rsidRPr="00E27F60">
        <w:rPr>
          <w:sz w:val="20"/>
          <w:szCs w:val="20"/>
        </w:rPr>
        <w:t xml:space="preserve">) koje škola zatvara po obavijesti županije. </w:t>
      </w:r>
      <w:r w:rsidR="00176B42">
        <w:rPr>
          <w:sz w:val="20"/>
          <w:szCs w:val="20"/>
        </w:rPr>
        <w:t xml:space="preserve">Po obradi Zahtjeva </w:t>
      </w:r>
      <w:r>
        <w:rPr>
          <w:sz w:val="20"/>
          <w:szCs w:val="20"/>
        </w:rPr>
        <w:t xml:space="preserve">, a što iziskuje malo više vremena, iskazane dospjele obveze se podmirene u siječnju 2026. godine. </w:t>
      </w:r>
      <w:r w:rsidRPr="00E27F60">
        <w:rPr>
          <w:sz w:val="20"/>
          <w:szCs w:val="20"/>
        </w:rPr>
        <w:t xml:space="preserve">Zbog svega navedenog na poziciji V007 iskazan je iznos </w:t>
      </w:r>
      <w:r w:rsidR="009C653B" w:rsidRPr="00E27F60">
        <w:rPr>
          <w:sz w:val="20"/>
          <w:szCs w:val="20"/>
        </w:rPr>
        <w:t>37.503,04</w:t>
      </w:r>
      <w:r w:rsidRPr="00E27F60">
        <w:rPr>
          <w:sz w:val="20"/>
          <w:szCs w:val="20"/>
        </w:rPr>
        <w:t xml:space="preserve"> nepodmirenih obveza.</w:t>
      </w:r>
      <w:r w:rsidR="00176B42">
        <w:rPr>
          <w:sz w:val="20"/>
          <w:szCs w:val="20"/>
        </w:rPr>
        <w:t xml:space="preserve"> </w:t>
      </w:r>
      <w:r w:rsidR="004E043D">
        <w:rPr>
          <w:sz w:val="20"/>
          <w:szCs w:val="20"/>
        </w:rPr>
        <w:t xml:space="preserve"> </w:t>
      </w:r>
    </w:p>
    <w:p w:rsidR="00C42BFB" w:rsidRPr="00E27F60" w:rsidRDefault="00C42BFB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Iznos dospjele obveze na skupini 239 u iznosu 24,37 odnosi se na obvezu povrata za uplatu iz 2024. godine na žiro račun škole. Provjerom s bankom navedeni IBAN-u s kojeg je uplata stigla, a sa namjerom da napravimo povrat, banka je navela da je to nepostojeći IBAN.</w:t>
      </w:r>
    </w:p>
    <w:p w:rsidR="00351859" w:rsidRPr="00E27F60" w:rsidRDefault="00351859">
      <w:pPr>
        <w:rPr>
          <w:sz w:val="20"/>
          <w:szCs w:val="20"/>
        </w:rPr>
      </w:pPr>
    </w:p>
    <w:p w:rsidR="00351859" w:rsidRDefault="00351859" w:rsidP="00351859">
      <w:pPr>
        <w:keepNext/>
        <w:spacing w:line="240" w:lineRule="auto"/>
        <w:jc w:val="center"/>
      </w:pPr>
      <w:r>
        <w:rPr>
          <w:b/>
          <w:sz w:val="28"/>
        </w:rPr>
        <w:t>Izvještaj o promjenama u vrijednosti i obujmu imovine</w:t>
      </w:r>
    </w:p>
    <w:p w:rsidR="00351859" w:rsidRDefault="00B852D8" w:rsidP="00351859">
      <w:pPr>
        <w:keepNext/>
        <w:spacing w:line="240" w:lineRule="auto"/>
        <w:jc w:val="center"/>
      </w:pPr>
      <w:r>
        <w:rPr>
          <w:sz w:val="28"/>
        </w:rPr>
        <w:t>Bilješka 6</w:t>
      </w:r>
      <w:r w:rsidR="00351859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51859" w:rsidTr="0093600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51859" w:rsidRDefault="00351859" w:rsidP="00936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51859" w:rsidRDefault="00351859" w:rsidP="00936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51859" w:rsidRDefault="00351859" w:rsidP="00936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51859" w:rsidRDefault="00351859" w:rsidP="00936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51859" w:rsidRDefault="00351859" w:rsidP="00936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1859" w:rsidTr="0093600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51859" w:rsidRDefault="00351859" w:rsidP="009360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51859" w:rsidRDefault="00351859" w:rsidP="00936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51859" w:rsidRDefault="00351859" w:rsidP="00936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51859" w:rsidRDefault="004E043D" w:rsidP="00936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66.802,56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51859" w:rsidRDefault="00351859" w:rsidP="00936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51859" w:rsidRDefault="00351859" w:rsidP="00351859">
      <w:pPr>
        <w:spacing w:after="0"/>
      </w:pPr>
    </w:p>
    <w:p w:rsidR="00351859" w:rsidRDefault="00351859">
      <w:pPr>
        <w:rPr>
          <w:sz w:val="20"/>
          <w:szCs w:val="20"/>
        </w:rPr>
      </w:pPr>
      <w:r w:rsidRPr="00E27F60">
        <w:rPr>
          <w:sz w:val="20"/>
          <w:szCs w:val="20"/>
        </w:rPr>
        <w:t>Ispravak vrijednosti dugotrajne imovine za 2025. godinu</w:t>
      </w:r>
      <w:r w:rsidR="00185974" w:rsidRPr="00E27F60">
        <w:rPr>
          <w:sz w:val="20"/>
          <w:szCs w:val="20"/>
        </w:rPr>
        <w:t xml:space="preserve"> iskazan je kroz obrazac</w:t>
      </w:r>
      <w:r w:rsidR="000C1A6C" w:rsidRPr="00E27F60">
        <w:rPr>
          <w:sz w:val="20"/>
          <w:szCs w:val="20"/>
        </w:rPr>
        <w:t xml:space="preserve"> P-</w:t>
      </w:r>
      <w:r w:rsidR="00185974" w:rsidRPr="00E27F60">
        <w:rPr>
          <w:sz w:val="20"/>
          <w:szCs w:val="20"/>
        </w:rPr>
        <w:t xml:space="preserve"> VRIO kao smanjenje vrijednosti i obujma imovine.</w:t>
      </w:r>
    </w:p>
    <w:p w:rsidR="00B852D8" w:rsidRDefault="00B852D8">
      <w:pPr>
        <w:rPr>
          <w:sz w:val="20"/>
          <w:szCs w:val="20"/>
        </w:rPr>
      </w:pPr>
      <w:bookmarkStart w:id="0" w:name="_GoBack"/>
      <w:bookmarkEnd w:id="0"/>
    </w:p>
    <w:p w:rsidR="00B852D8" w:rsidRPr="00B852D8" w:rsidRDefault="00EC5CEA" w:rsidP="00B852D8">
      <w:pPr>
        <w:keepNext/>
        <w:spacing w:line="240" w:lineRule="auto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 w:val="28"/>
          <w:szCs w:val="20"/>
        </w:rPr>
        <w:t>Bilješka 7</w:t>
      </w:r>
      <w:r w:rsidR="00B852D8" w:rsidRPr="00B852D8">
        <w:rPr>
          <w:rFonts w:eastAsia="Times New Roman" w:cs="Times New Roman"/>
          <w:sz w:val="28"/>
          <w:szCs w:val="20"/>
        </w:rPr>
        <w:t>.</w:t>
      </w:r>
    </w:p>
    <w:p w:rsidR="00B852D8" w:rsidRPr="00B852D8" w:rsidRDefault="00B852D8" w:rsidP="00B852D8">
      <w:pPr>
        <w:spacing w:line="240" w:lineRule="auto"/>
        <w:jc w:val="both"/>
        <w:rPr>
          <w:rFonts w:eastAsia="Times New Roman" w:cs="Times New Roman"/>
          <w:szCs w:val="20"/>
        </w:rPr>
      </w:pPr>
      <w:r w:rsidRPr="00B852D8">
        <w:rPr>
          <w:rFonts w:eastAsia="Times New Roman" w:cs="Times New Roman"/>
          <w:b/>
          <w:szCs w:val="20"/>
        </w:rPr>
        <w:t>EU izvještaj</w:t>
      </w:r>
    </w:p>
    <w:p w:rsidR="00B852D8" w:rsidRDefault="00B852D8">
      <w:pPr>
        <w:rPr>
          <w:sz w:val="20"/>
          <w:szCs w:val="20"/>
        </w:rPr>
      </w:pPr>
    </w:p>
    <w:p w:rsidR="00B852D8" w:rsidRPr="00E27F60" w:rsidRDefault="00B852D8">
      <w:pPr>
        <w:rPr>
          <w:sz w:val="20"/>
          <w:szCs w:val="20"/>
        </w:rPr>
      </w:pPr>
      <w:r w:rsidRPr="003021F0">
        <w:rPr>
          <w:sz w:val="20"/>
          <w:szCs w:val="20"/>
        </w:rPr>
        <w:t>Sredstvima iz izvora 5.3.1 ( EU sredstva) i 5.1.1 (nacionalno  sufinanciranje), financirani su materijalni rashodi i plaće pomoćnika u nastavi (aktivnosti: ULJP 2021</w:t>
      </w:r>
      <w:r w:rsidR="003021F0">
        <w:rPr>
          <w:sz w:val="20"/>
          <w:szCs w:val="20"/>
        </w:rPr>
        <w:t xml:space="preserve">.-2027. - Učimo zajedno VII </w:t>
      </w:r>
      <w:r w:rsidRPr="003021F0">
        <w:rPr>
          <w:sz w:val="20"/>
          <w:szCs w:val="20"/>
        </w:rPr>
        <w:t>). U obrascu EU izvještaji po izvorima financiranja navedeni su nastali rashodi, odnosno ostvareni prihodi za isplatu istih.</w:t>
      </w:r>
    </w:p>
    <w:p w:rsidR="00886050" w:rsidRPr="00E27F60" w:rsidRDefault="00886050">
      <w:pPr>
        <w:rPr>
          <w:sz w:val="20"/>
          <w:szCs w:val="20"/>
        </w:rPr>
      </w:pPr>
    </w:p>
    <w:sectPr w:rsidR="00886050" w:rsidRPr="00E2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F2644"/>
    <w:multiLevelType w:val="hybridMultilevel"/>
    <w:tmpl w:val="4FC6B9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00"/>
    <w:rsid w:val="000458E6"/>
    <w:rsid w:val="00095376"/>
    <w:rsid w:val="000A2675"/>
    <w:rsid w:val="000C1A6C"/>
    <w:rsid w:val="000F3396"/>
    <w:rsid w:val="00172037"/>
    <w:rsid w:val="00176B42"/>
    <w:rsid w:val="00181838"/>
    <w:rsid w:val="00185974"/>
    <w:rsid w:val="00200344"/>
    <w:rsid w:val="0020201A"/>
    <w:rsid w:val="00281BFA"/>
    <w:rsid w:val="003021F0"/>
    <w:rsid w:val="00351859"/>
    <w:rsid w:val="004E043D"/>
    <w:rsid w:val="00553F62"/>
    <w:rsid w:val="00611800"/>
    <w:rsid w:val="00886050"/>
    <w:rsid w:val="008C3E76"/>
    <w:rsid w:val="008C63E9"/>
    <w:rsid w:val="00984F50"/>
    <w:rsid w:val="009C653B"/>
    <w:rsid w:val="00A839CD"/>
    <w:rsid w:val="00B00EB0"/>
    <w:rsid w:val="00B852D8"/>
    <w:rsid w:val="00C02AFE"/>
    <w:rsid w:val="00C42BFB"/>
    <w:rsid w:val="00D561D1"/>
    <w:rsid w:val="00D57EFB"/>
    <w:rsid w:val="00D7728A"/>
    <w:rsid w:val="00DE76ED"/>
    <w:rsid w:val="00E20A03"/>
    <w:rsid w:val="00E27F60"/>
    <w:rsid w:val="00E45FE2"/>
    <w:rsid w:val="00EC5CEA"/>
    <w:rsid w:val="00EF1F13"/>
    <w:rsid w:val="00F0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0344"/>
    <w:pPr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0344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Windows korisnik</cp:lastModifiedBy>
  <cp:revision>24</cp:revision>
  <cp:lastPrinted>2026-01-27T09:51:00Z</cp:lastPrinted>
  <dcterms:created xsi:type="dcterms:W3CDTF">2026-01-27T08:19:00Z</dcterms:created>
  <dcterms:modified xsi:type="dcterms:W3CDTF">2026-02-04T06:26:00Z</dcterms:modified>
</cp:coreProperties>
</file>